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single" w:color="226DC2" w:sz="24" w:space="15"/>
        </w:pBdr>
        <w:spacing w:line="45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6DC2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6DC2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市卫健委新兴交叉领域研究专项申报通知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各科室、各位专家：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市卫健委新兴交叉领域研究专项已启动申报（见附件1），此专项为限项申报（各市级单位申报不超过2项），相关申报事宜通知如下：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b/>
          <w:bCs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</w:rPr>
        <w:t>一、建设方向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1、重大疾病精准防治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2、人工智能与数字诊疗技术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3、其他相关前沿应用基础研究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b/>
          <w:bCs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</w:rPr>
        <w:t>二、申报方式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我院拟申报者请填写《新兴交叉领域研究专项申报书》（见附件2），于9月5日前将电子版发送科研处邮箱，纸质版一份申请人签字后送我院科研处。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如超过限项，将组织院内评审，择优推荐正式申报。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both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复旦大学附属中山医院  科研处 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王翔宇 697552  612167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78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2022/8/30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2022-11-10T06:41:40Z</dcterms:created>
  <dc:creator>LNYXZX</dc:creator>
  <cp:lastModifiedBy>nanameoww</cp:lastModifiedBy>
  <dcterms:modified xsi:type="dcterms:W3CDTF">2022-11-10T06:42:20Z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F12F47914BA34FDC8CE7266686A1BE9B</vt:lpwstr>
  </property>
</Properties>
</file>