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3E9C">
      <w:pPr>
        <w:spacing w:line="360" w:lineRule="auto"/>
        <w:jc w:val="both"/>
        <w:rPr>
          <w:rFonts w:hint="eastAsia" w:hAnsi="宋体"/>
          <w:b/>
          <w:bCs/>
          <w:color w:val="000000"/>
          <w:sz w:val="28"/>
          <w:szCs w:val="24"/>
          <w:lang w:eastAsia="zh-CN"/>
        </w:rPr>
      </w:pPr>
    </w:p>
    <w:p w14:paraId="248E077C">
      <w:pPr>
        <w:spacing w:line="360" w:lineRule="auto"/>
        <w:jc w:val="center"/>
        <w:outlineLvl w:val="0"/>
        <w:rPr>
          <w:rFonts w:hint="eastAsia"/>
          <w:b/>
          <w:bCs/>
          <w:sz w:val="36"/>
          <w:szCs w:val="44"/>
          <w:lang w:val="en-US" w:eastAsia="zh-CN"/>
        </w:rPr>
      </w:pPr>
      <w:r>
        <w:rPr>
          <w:rFonts w:hint="eastAsia"/>
          <w:b/>
          <w:bCs/>
          <w:sz w:val="36"/>
          <w:szCs w:val="44"/>
          <w:lang w:val="en-US" w:eastAsia="zh-CN"/>
        </w:rPr>
        <w:t xml:space="preserve">“  </w:t>
      </w:r>
      <w:r>
        <w:rPr>
          <w:rFonts w:hint="eastAsia"/>
          <w:b/>
          <w:bCs/>
          <w:sz w:val="36"/>
          <w:szCs w:val="44"/>
          <w:u w:val="single"/>
          <w:lang w:val="en-US" w:eastAsia="zh-CN"/>
        </w:rPr>
        <w:t xml:space="preserve">                       </w:t>
      </w:r>
      <w:r>
        <w:rPr>
          <w:rFonts w:hint="eastAsia"/>
          <w:b/>
          <w:bCs/>
          <w:sz w:val="36"/>
          <w:szCs w:val="44"/>
          <w:lang w:val="en-US" w:eastAsia="zh-CN"/>
        </w:rPr>
        <w:t>”新药临床试验项目协议</w:t>
      </w:r>
    </w:p>
    <w:p w14:paraId="00817BEC">
      <w:pPr>
        <w:spacing w:line="360" w:lineRule="auto"/>
        <w:jc w:val="both"/>
        <w:outlineLvl w:val="0"/>
        <w:rPr>
          <w:rFonts w:hint="eastAsia"/>
          <w:b/>
          <w:bCs/>
          <w:lang w:val="en-US" w:eastAsia="zh-CN"/>
        </w:rPr>
      </w:pPr>
      <w:r>
        <w:rPr>
          <w:rFonts w:hint="eastAsia"/>
          <w:b/>
          <w:bCs/>
          <w:lang w:val="en-US" w:eastAsia="zh-CN"/>
        </w:rPr>
        <w:t>试验药物：</w:t>
      </w:r>
    </w:p>
    <w:p w14:paraId="688B9EE4">
      <w:pPr>
        <w:spacing w:line="360" w:lineRule="auto"/>
        <w:jc w:val="both"/>
        <w:outlineLvl w:val="0"/>
        <w:rPr>
          <w:rFonts w:hint="eastAsia"/>
          <w:b/>
          <w:bCs/>
          <w:lang w:val="en-US" w:eastAsia="zh-CN"/>
        </w:rPr>
      </w:pPr>
      <w:r>
        <w:rPr>
          <w:rFonts w:hint="eastAsia"/>
          <w:b/>
          <w:bCs/>
          <w:lang w:val="en-US" w:eastAsia="zh-CN"/>
        </w:rPr>
        <w:t>方案编号：</w:t>
      </w:r>
    </w:p>
    <w:p w14:paraId="14AAE80C">
      <w:pPr>
        <w:spacing w:line="360" w:lineRule="auto"/>
        <w:jc w:val="both"/>
        <w:rPr>
          <w:rFonts w:hint="default"/>
          <w:b/>
          <w:bCs/>
          <w:lang w:val="en-US" w:eastAsia="zh-CN"/>
        </w:rPr>
      </w:pPr>
    </w:p>
    <w:p w14:paraId="0EBE24F8">
      <w:pPr>
        <w:spacing w:line="348" w:lineRule="auto"/>
        <w:rPr>
          <w:rFonts w:hint="eastAsia"/>
          <w:kern w:val="0"/>
          <w:sz w:val="24"/>
        </w:rPr>
      </w:pPr>
      <w:r>
        <w:rPr>
          <w:rFonts w:hint="eastAsia"/>
          <w:kern w:val="0"/>
          <w:sz w:val="24"/>
        </w:rPr>
        <w:t xml:space="preserve">申办者（“甲方”）：【             】                                         </w:t>
      </w:r>
    </w:p>
    <w:p w14:paraId="1B4D7A4F">
      <w:pPr>
        <w:spacing w:line="348" w:lineRule="auto"/>
        <w:rPr>
          <w:rFonts w:hint="eastAsia"/>
          <w:kern w:val="0"/>
          <w:sz w:val="24"/>
        </w:rPr>
      </w:pPr>
      <w:r>
        <w:rPr>
          <w:rFonts w:hint="eastAsia"/>
          <w:kern w:val="0"/>
          <w:sz w:val="24"/>
        </w:rPr>
        <w:t xml:space="preserve">地    址：                              </w:t>
      </w:r>
    </w:p>
    <w:p w14:paraId="010727D7">
      <w:pPr>
        <w:spacing w:line="348" w:lineRule="auto"/>
        <w:rPr>
          <w:rFonts w:hint="eastAsia"/>
          <w:kern w:val="0"/>
          <w:sz w:val="24"/>
        </w:rPr>
      </w:pPr>
      <w:r>
        <w:rPr>
          <w:rFonts w:hint="eastAsia"/>
          <w:kern w:val="0"/>
          <w:sz w:val="24"/>
        </w:rPr>
        <w:t xml:space="preserve">法定代表人：                                       </w:t>
      </w:r>
    </w:p>
    <w:p w14:paraId="3DD67462">
      <w:pPr>
        <w:spacing w:line="348" w:lineRule="auto"/>
        <w:rPr>
          <w:rFonts w:hint="eastAsia"/>
          <w:kern w:val="0"/>
          <w:sz w:val="24"/>
        </w:rPr>
      </w:pPr>
      <w:r>
        <w:rPr>
          <w:rFonts w:hint="eastAsia"/>
          <w:kern w:val="0"/>
          <w:sz w:val="24"/>
        </w:rPr>
        <w:t xml:space="preserve">项目负责人：                                </w:t>
      </w:r>
    </w:p>
    <w:p w14:paraId="50A626B6">
      <w:pPr>
        <w:spacing w:line="348" w:lineRule="auto"/>
        <w:rPr>
          <w:rFonts w:hint="eastAsia"/>
          <w:kern w:val="0"/>
          <w:sz w:val="24"/>
        </w:rPr>
      </w:pPr>
      <w:r>
        <w:rPr>
          <w:rFonts w:hint="eastAsia"/>
          <w:kern w:val="0"/>
          <w:sz w:val="24"/>
        </w:rPr>
        <w:t>电子邮件：</w:t>
      </w:r>
    </w:p>
    <w:p w14:paraId="181FFC0F">
      <w:pPr>
        <w:spacing w:line="348" w:lineRule="auto"/>
        <w:rPr>
          <w:sz w:val="24"/>
        </w:rPr>
      </w:pPr>
      <w:r>
        <w:rPr>
          <w:rFonts w:hint="eastAsia"/>
          <w:kern w:val="0"/>
          <w:sz w:val="24"/>
        </w:rPr>
        <w:t>联系电话：</w:t>
      </w:r>
      <w:r>
        <w:rPr>
          <w:kern w:val="0"/>
          <w:sz w:val="24"/>
          <w:u w:val="single"/>
        </w:rPr>
        <w:t xml:space="preserve">                                             </w:t>
      </w:r>
    </w:p>
    <w:p w14:paraId="60642256">
      <w:pPr>
        <w:spacing w:line="348" w:lineRule="auto"/>
        <w:rPr>
          <w:kern w:val="0"/>
          <w:sz w:val="24"/>
        </w:rPr>
      </w:pPr>
    </w:p>
    <w:p w14:paraId="0800DE8A">
      <w:pPr>
        <w:spacing w:line="348" w:lineRule="auto"/>
        <w:rPr>
          <w:rFonts w:hint="default" w:eastAsia="宋体"/>
          <w:kern w:val="0"/>
          <w:sz w:val="24"/>
          <w:lang w:val="en-US" w:eastAsia="zh-CN"/>
        </w:rPr>
      </w:pPr>
      <w:r>
        <w:rPr>
          <w:rFonts w:hint="eastAsia"/>
          <w:kern w:val="0"/>
          <w:sz w:val="24"/>
        </w:rPr>
        <w:t>临床试验机构（“乙方”）</w:t>
      </w:r>
      <w:r>
        <w:rPr>
          <w:kern w:val="0"/>
          <w:sz w:val="24"/>
        </w:rPr>
        <w:t>：</w:t>
      </w:r>
      <w:r>
        <w:rPr>
          <w:rFonts w:hint="eastAsia" w:ascii="宋体" w:hAnsi="宋体"/>
          <w:kern w:val="0"/>
          <w:sz w:val="24"/>
          <w:lang w:val="en-US" w:eastAsia="zh-CN"/>
        </w:rPr>
        <w:t>上海市老年医学中心</w:t>
      </w:r>
      <w:r>
        <w:rPr>
          <w:rFonts w:hint="eastAsia"/>
          <w:lang w:val="en-US" w:eastAsia="zh-CN"/>
        </w:rPr>
        <w:t xml:space="preserve">               </w:t>
      </w:r>
    </w:p>
    <w:p w14:paraId="12897C15">
      <w:pPr>
        <w:spacing w:line="348" w:lineRule="auto"/>
        <w:rPr>
          <w:rFonts w:hint="default" w:eastAsia="宋体"/>
          <w:kern w:val="0"/>
          <w:sz w:val="24"/>
          <w:lang w:val="en-US" w:eastAsia="zh-CN"/>
        </w:rPr>
      </w:pPr>
      <w:r>
        <w:rPr>
          <w:kern w:val="0"/>
          <w:sz w:val="24"/>
        </w:rPr>
        <w:t>地</w:t>
      </w:r>
      <w:r>
        <w:rPr>
          <w:rFonts w:hint="eastAsia"/>
          <w:kern w:val="0"/>
          <w:sz w:val="24"/>
          <w:lang w:val="en-US" w:eastAsia="zh-CN"/>
        </w:rPr>
        <w:t xml:space="preserve">    </w:t>
      </w:r>
      <w:r>
        <w:rPr>
          <w:kern w:val="0"/>
          <w:sz w:val="24"/>
        </w:rPr>
        <w:t>址：</w:t>
      </w:r>
      <w:r>
        <w:rPr>
          <w:rFonts w:hint="eastAsia" w:ascii="宋体" w:hAnsi="宋体"/>
          <w:kern w:val="0"/>
          <w:sz w:val="24"/>
        </w:rPr>
        <w:t>上海市闵行区春申路2560号</w:t>
      </w:r>
      <w:r>
        <w:rPr>
          <w:rFonts w:hint="eastAsia" w:ascii="宋体" w:hAnsi="宋体"/>
          <w:kern w:val="0"/>
          <w:sz w:val="24"/>
          <w:lang w:val="en-US" w:eastAsia="zh-CN"/>
        </w:rPr>
        <w:t xml:space="preserve">            </w:t>
      </w:r>
    </w:p>
    <w:p w14:paraId="256786B0">
      <w:pPr>
        <w:spacing w:line="348" w:lineRule="auto"/>
        <w:rPr>
          <w:rFonts w:hint="eastAsia"/>
          <w:kern w:val="0"/>
          <w:sz w:val="24"/>
        </w:rPr>
      </w:pPr>
      <w:r>
        <w:rPr>
          <w:rFonts w:hint="eastAsia"/>
          <w:kern w:val="0"/>
          <w:sz w:val="24"/>
        </w:rPr>
        <w:t xml:space="preserve">法定代表人：樊嘉                                       </w:t>
      </w:r>
    </w:p>
    <w:p w14:paraId="48F1FD95">
      <w:pPr>
        <w:spacing w:line="348" w:lineRule="auto"/>
        <w:rPr>
          <w:rFonts w:hint="eastAsia"/>
          <w:kern w:val="0"/>
          <w:sz w:val="24"/>
        </w:rPr>
      </w:pPr>
      <w:r>
        <w:rPr>
          <w:rFonts w:hint="eastAsia"/>
          <w:kern w:val="0"/>
          <w:sz w:val="24"/>
          <w:lang w:val="en-US" w:eastAsia="zh-CN"/>
        </w:rPr>
        <w:t>主要研究者</w:t>
      </w:r>
      <w:r>
        <w:rPr>
          <w:rFonts w:hint="eastAsia"/>
          <w:kern w:val="0"/>
          <w:sz w:val="24"/>
        </w:rPr>
        <w:t xml:space="preserve">：                                </w:t>
      </w:r>
    </w:p>
    <w:p w14:paraId="0CBA21DD">
      <w:pPr>
        <w:spacing w:line="348" w:lineRule="auto"/>
        <w:rPr>
          <w:rFonts w:hint="eastAsia"/>
          <w:kern w:val="0"/>
          <w:sz w:val="24"/>
        </w:rPr>
      </w:pPr>
      <w:r>
        <w:rPr>
          <w:rFonts w:hint="eastAsia"/>
          <w:kern w:val="0"/>
          <w:sz w:val="24"/>
        </w:rPr>
        <w:t>电子邮件：</w:t>
      </w:r>
    </w:p>
    <w:p w14:paraId="672E793E">
      <w:pPr>
        <w:spacing w:line="348" w:lineRule="auto"/>
        <w:rPr>
          <w:rFonts w:hint="eastAsia"/>
          <w:b w:val="0"/>
          <w:bCs w:val="0"/>
          <w:kern w:val="0"/>
          <w:sz w:val="24"/>
          <w:lang w:val="en-US" w:eastAsia="zh-CN"/>
        </w:rPr>
      </w:pPr>
      <w:r>
        <w:rPr>
          <w:rFonts w:hint="eastAsia"/>
          <w:kern w:val="0"/>
          <w:sz w:val="24"/>
        </w:rPr>
        <w:t>联系电话：</w:t>
      </w:r>
      <w:r>
        <w:rPr>
          <w:rFonts w:hint="eastAsia"/>
          <w:kern w:val="0"/>
          <w:sz w:val="24"/>
          <w:u w:val="none"/>
        </w:rPr>
        <w:t xml:space="preserve">   </w:t>
      </w:r>
    </w:p>
    <w:p w14:paraId="78B4E122">
      <w:pPr>
        <w:pStyle w:val="2"/>
        <w:rPr>
          <w:rFonts w:hint="default"/>
          <w:b/>
          <w:sz w:val="24"/>
          <w:lang w:val="en-US" w:eastAsia="zh-CN"/>
        </w:rPr>
      </w:pPr>
    </w:p>
    <w:p w14:paraId="1DC14ECF">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firstLine="480" w:firstLineChars="200"/>
        <w:jc w:val="both"/>
        <w:rPr>
          <w:color w:val="000000"/>
          <w:sz w:val="24"/>
          <w:szCs w:val="20"/>
        </w:rPr>
      </w:pPr>
      <w:r>
        <w:rPr>
          <w:rFonts w:hint="eastAsia"/>
          <w:color w:val="000000"/>
          <w:sz w:val="24"/>
          <w:szCs w:val="20"/>
        </w:rPr>
        <w:t>甲方委托乙方负责开展一项</w:t>
      </w:r>
      <w:r>
        <w:rPr>
          <w:color w:val="000000"/>
          <w:sz w:val="24"/>
          <w:szCs w:val="20"/>
        </w:rPr>
        <w:t>临床研究</w:t>
      </w:r>
      <w:r>
        <w:rPr>
          <w:rFonts w:hint="eastAsia"/>
          <w:color w:val="000000"/>
          <w:sz w:val="24"/>
          <w:szCs w:val="20"/>
        </w:rPr>
        <w:t>“</w:t>
      </w:r>
      <w:r>
        <w:rPr>
          <w:color w:val="000000"/>
          <w:sz w:val="24"/>
          <w:szCs w:val="20"/>
          <w:u w:val="single"/>
        </w:rPr>
        <w:t xml:space="preserve">   </w:t>
      </w:r>
      <w:r>
        <w:rPr>
          <w:rFonts w:hint="eastAsia"/>
          <w:color w:val="000000"/>
          <w:sz w:val="24"/>
          <w:szCs w:val="20"/>
          <w:u w:val="single"/>
          <w:lang w:val="en-US" w:eastAsia="zh-CN"/>
        </w:rPr>
        <w:t xml:space="preserve">                          </w:t>
      </w:r>
      <w:r>
        <w:rPr>
          <w:color w:val="000000"/>
          <w:sz w:val="24"/>
          <w:szCs w:val="20"/>
          <w:u w:val="single"/>
        </w:rPr>
        <w:t xml:space="preserve">     </w:t>
      </w:r>
      <w:r>
        <w:rPr>
          <w:rFonts w:hint="eastAsia"/>
          <w:color w:val="000000"/>
          <w:sz w:val="24"/>
          <w:szCs w:val="20"/>
        </w:rPr>
        <w:t>”。乙方同意接受甲方委托，双方将协作进行本项临床研究。为明确双方的权利、责任及义务，经友好协商，</w:t>
      </w:r>
      <w:r>
        <w:rPr>
          <w:kern w:val="0"/>
          <w:sz w:val="24"/>
        </w:rPr>
        <w:t>在平等互利的基础上，</w:t>
      </w:r>
      <w:r>
        <w:rPr>
          <w:rFonts w:hint="eastAsia"/>
          <w:kern w:val="0"/>
          <w:sz w:val="24"/>
        </w:rPr>
        <w:t>双方自愿</w:t>
      </w:r>
      <w:r>
        <w:rPr>
          <w:rFonts w:hint="eastAsia"/>
          <w:color w:val="000000"/>
          <w:sz w:val="24"/>
          <w:szCs w:val="20"/>
        </w:rPr>
        <w:t>订立以下条款并共同遵守。</w:t>
      </w:r>
    </w:p>
    <w:p w14:paraId="4CAC91D3">
      <w:pPr>
        <w:numPr>
          <w:ilvl w:val="0"/>
          <w:numId w:val="1"/>
        </w:numPr>
        <w:spacing w:after="93" w:line="360" w:lineRule="auto"/>
        <w:ind w:left="283" w:leftChars="0" w:hanging="283" w:firstLineChars="0"/>
        <w:outlineLvl w:val="0"/>
        <w:rPr>
          <w:rFonts w:ascii="宋体" w:hAnsi="宋体" w:cs="宋体"/>
          <w:b/>
          <w:kern w:val="0"/>
          <w:sz w:val="24"/>
          <w:szCs w:val="20"/>
        </w:rPr>
      </w:pPr>
      <w:bookmarkStart w:id="0" w:name="_Toc14474"/>
      <w:r>
        <w:rPr>
          <w:rFonts w:hint="eastAsia" w:ascii="宋体" w:hAnsi="宋体" w:cs="宋体"/>
          <w:b/>
          <w:kern w:val="0"/>
          <w:sz w:val="24"/>
          <w:szCs w:val="20"/>
        </w:rPr>
        <w:t>各方</w:t>
      </w:r>
      <w:r>
        <w:rPr>
          <w:rFonts w:ascii="宋体" w:hAnsi="宋体" w:cs="宋体"/>
          <w:b/>
          <w:kern w:val="0"/>
          <w:sz w:val="24"/>
          <w:szCs w:val="20"/>
        </w:rPr>
        <w:t>承担的责任和义务</w:t>
      </w:r>
      <w:bookmarkEnd w:id="0"/>
    </w:p>
    <w:p w14:paraId="4070EFB0">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left"/>
        <w:rPr>
          <w:b/>
          <w:color w:val="000000"/>
          <w:sz w:val="24"/>
          <w:szCs w:val="20"/>
        </w:rPr>
      </w:pPr>
      <w:r>
        <w:rPr>
          <w:rFonts w:hint="eastAsia"/>
          <w:b/>
          <w:color w:val="000000"/>
          <w:sz w:val="24"/>
          <w:szCs w:val="20"/>
        </w:rPr>
        <w:t>甲方</w:t>
      </w:r>
      <w:r>
        <w:rPr>
          <w:b/>
          <w:color w:val="000000"/>
          <w:sz w:val="24"/>
          <w:szCs w:val="20"/>
        </w:rPr>
        <w:t>：</w:t>
      </w:r>
    </w:p>
    <w:p w14:paraId="3C072419">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甲方应免费向乙方提供本临床试验项目的文件、资料，包括但不限于：</w:t>
      </w:r>
    </w:p>
    <w:p w14:paraId="45C03CF5">
      <w:pPr>
        <w:numPr>
          <w:ilvl w:val="0"/>
          <w:numId w:val="0"/>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left="480" w:leftChars="0"/>
        <w:jc w:val="both"/>
        <w:rPr>
          <w:rFonts w:hint="eastAsia"/>
          <w:sz w:val="24"/>
          <w:szCs w:val="20"/>
        </w:rPr>
      </w:pPr>
      <w:r>
        <w:rPr>
          <w:rFonts w:hint="eastAsia"/>
          <w:sz w:val="24"/>
          <w:szCs w:val="20"/>
        </w:rPr>
        <w:t>（1） 研究用文件资料：①NMPA临床试验批准通知书或受理通知书、②试验临床试验方案（最新版本及修订版本）、③研究者手册、④受试者知情同意书、⑤病例报告表（CRF）、⑥药检报告、⑦甲方、中心实验室等资质证明、⑧组长单位伦理批件（如适用）、⑨中国人类遗传资源国际合作科学研究审批决定书（如适用）等与试验相关的资料；具体以乙方提供的资料目录为准；</w:t>
      </w:r>
    </w:p>
    <w:p w14:paraId="30998F49">
      <w:pPr>
        <w:numPr>
          <w:ilvl w:val="0"/>
          <w:numId w:val="0"/>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left="480" w:leftChars="0"/>
        <w:jc w:val="both"/>
        <w:rPr>
          <w:rFonts w:hint="eastAsia"/>
          <w:sz w:val="24"/>
          <w:szCs w:val="20"/>
        </w:rPr>
      </w:pPr>
      <w:r>
        <w:rPr>
          <w:rFonts w:hint="eastAsia"/>
          <w:sz w:val="24"/>
          <w:szCs w:val="20"/>
        </w:rPr>
        <w:t>（2）为完成本临床试验项目，乙方不时需要提供的其他相关资料。</w:t>
      </w:r>
    </w:p>
    <w:p w14:paraId="11A6B582">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本合同第1条所述的文件，甲方应在乙方提交伦理委员会审批前交付电子版材料1份（上传至机构公邮），加盖单位公章纸质版文件1份递交至乙方临床试验机构办公室进行备案（文件需与电子版材料一致）。</w:t>
      </w:r>
    </w:p>
    <w:p w14:paraId="0FB15F8F">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甲方应在临床试验启动前，免费向研究者提供试验药物（</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）、对照药品（</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）、辅助用药（</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 xml:space="preserve">）（如适用）。试验用药品的质量由甲方负责，提供所有试验用药品的药检报告。试验用药品应易于识别、有正确编码（如适用）并贴有临床试验专用标签。提供的试验用药品应包括中途退出病例、剔除病例的数量。  </w:t>
      </w:r>
    </w:p>
    <w:p w14:paraId="4AC138C7">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向参与研究的受试者免费提供因试验方案需要而发生的临床观察、辅助检查（具体项目以签署的知情同意书为准），且不占用医保资源。</w:t>
      </w:r>
    </w:p>
    <w:p w14:paraId="71A62C65">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 xml:space="preserve"> 为临床试验购买足额的保险，按乙方要求提供保险凭单，单号</w:t>
      </w:r>
      <w:r>
        <w:rPr>
          <w:rFonts w:hint="eastAsia"/>
          <w:sz w:val="24"/>
          <w:szCs w:val="20"/>
          <w:lang w:eastAsia="zh-CN"/>
        </w:rPr>
        <w:t>：</w:t>
      </w:r>
      <w:r>
        <w:rPr>
          <w:rFonts w:hint="eastAsia"/>
          <w:sz w:val="24"/>
          <w:szCs w:val="20"/>
          <w:u w:val="single"/>
          <w:lang w:val="en-US" w:eastAsia="zh-CN"/>
        </w:rPr>
        <w:t xml:space="preserve">                     </w:t>
      </w:r>
      <w:r>
        <w:rPr>
          <w:rFonts w:hint="eastAsia"/>
          <w:sz w:val="24"/>
          <w:szCs w:val="20"/>
        </w:rPr>
        <w:t>。</w:t>
      </w:r>
    </w:p>
    <w:p w14:paraId="65D98599">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依据GCP、ICH-GCP等法规要求以及伦理委员会批准后的最新临床试验方案组织开展临床试验。如外资企业、合资企业</w:t>
      </w:r>
      <w:r>
        <w:rPr>
          <w:rFonts w:hint="eastAsia"/>
          <w:sz w:val="24"/>
          <w:szCs w:val="20"/>
          <w:lang w:eastAsia="zh-CN"/>
        </w:rPr>
        <w:t>申办者</w:t>
      </w:r>
      <w:r>
        <w:rPr>
          <w:rFonts w:hint="eastAsia"/>
          <w:sz w:val="24"/>
          <w:szCs w:val="20"/>
        </w:rPr>
        <w:t>发起的项目或由外资实验室参与的临床试验研究项目，</w:t>
      </w:r>
      <w:r>
        <w:rPr>
          <w:rFonts w:hint="eastAsia"/>
          <w:sz w:val="24"/>
          <w:szCs w:val="20"/>
          <w:lang w:val="en-US" w:eastAsia="zh-CN"/>
        </w:rPr>
        <w:t>甲方</w:t>
      </w:r>
      <w:r>
        <w:rPr>
          <w:rFonts w:hint="eastAsia"/>
          <w:sz w:val="24"/>
          <w:szCs w:val="20"/>
        </w:rPr>
        <w:t>负责委托牵头单位办理人类遗传资源材料出口、出境申请、审批等事项，并在获得科技部人类遗传资源管理部门批准后开展试验。</w:t>
      </w:r>
    </w:p>
    <w:p w14:paraId="44B30430">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甲方负责与</w:t>
      </w:r>
      <w:r>
        <w:rPr>
          <w:rFonts w:hint="eastAsia"/>
          <w:sz w:val="24"/>
          <w:szCs w:val="20"/>
          <w:lang w:val="en-US" w:eastAsia="zh-CN"/>
        </w:rPr>
        <w:t>主要研究者</w:t>
      </w:r>
      <w:r>
        <w:rPr>
          <w:rFonts w:hint="eastAsia"/>
          <w:sz w:val="24"/>
          <w:szCs w:val="20"/>
        </w:rPr>
        <w:t>预约并组织召开项目启动会，并通知</w:t>
      </w:r>
      <w:r>
        <w:rPr>
          <w:rFonts w:hint="eastAsia"/>
          <w:sz w:val="24"/>
          <w:szCs w:val="20"/>
          <w:lang w:val="en-US" w:eastAsia="zh-CN"/>
        </w:rPr>
        <w:t>乙方</w:t>
      </w:r>
      <w:r>
        <w:rPr>
          <w:rFonts w:hint="eastAsia"/>
          <w:sz w:val="24"/>
          <w:szCs w:val="20"/>
        </w:rPr>
        <w:t>项目启动会时间，</w:t>
      </w:r>
      <w:r>
        <w:rPr>
          <w:rFonts w:hint="eastAsia"/>
          <w:sz w:val="24"/>
          <w:szCs w:val="20"/>
          <w:lang w:val="en-US" w:eastAsia="zh-CN"/>
        </w:rPr>
        <w:t>乙方</w:t>
      </w:r>
      <w:r>
        <w:rPr>
          <w:rFonts w:hint="eastAsia"/>
          <w:sz w:val="24"/>
          <w:szCs w:val="20"/>
        </w:rPr>
        <w:t>办派相关人员参会。</w:t>
      </w:r>
    </w:p>
    <w:p w14:paraId="4F3C4E02">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甲方负责对乙方研究人员进行培训，培训内容包括：临床试验方案、研究流程、试验产品的性质、作用、疗效及安全性（包括临床前研究的有关资料）等相关信息，确保研究人员熟悉研究流程。</w:t>
      </w:r>
    </w:p>
    <w:p w14:paraId="273429C0">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委派合格</w:t>
      </w:r>
      <w:r>
        <w:rPr>
          <w:sz w:val="24"/>
          <w:szCs w:val="20"/>
        </w:rPr>
        <w:t>的监查员</w:t>
      </w:r>
      <w:r>
        <w:rPr>
          <w:rFonts w:hint="eastAsia"/>
          <w:sz w:val="24"/>
          <w:szCs w:val="20"/>
        </w:rPr>
        <w:t>，保证临床试验中受试者的权益，保证试验记录与报告的数据准确、完整，保证试验遵守已同意的方案、药物</w:t>
      </w:r>
      <w:r>
        <w:rPr>
          <w:sz w:val="24"/>
          <w:szCs w:val="20"/>
        </w:rPr>
        <w:t>临床试验质量管理规范</w:t>
      </w:r>
      <w:r>
        <w:rPr>
          <w:rFonts w:hint="eastAsia"/>
          <w:sz w:val="24"/>
          <w:szCs w:val="20"/>
        </w:rPr>
        <w:t>和相关法规。监查员应从试验启动后与机构质量管理员保持联系，试验实施过程中制定相应的监查计划，监查频率可根据入组进度进行调整，并向研究者及机构质量管理员报告每一次的监查结果。</w:t>
      </w:r>
    </w:p>
    <w:p w14:paraId="3359E47E">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应组织对临床试验的稽查，在国家药品监督部门进行现场核查前应至少组织一次稽查，以保证试验数据的可靠性及试验质量。</w:t>
      </w:r>
    </w:p>
    <w:p w14:paraId="13FAB96C">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本试验一旦发生严重不良事件，若需要甲方协调，甲方应安排其监查员或者负责人在48小时之内到达乙方医院，负责协助处理严重不良事件并采取必要的措施，以保证受试者的安全和权益。</w:t>
      </w:r>
    </w:p>
    <w:p w14:paraId="0BB60953">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收到研究者上报的严重不良事件后应当立即分析评估，并将可疑且非预期严重不良反应快速报告给所有参加临床试验的研究者、临床试验机构、伦理委员会、药品监督管理部门和卫生健康主管部门。甲方应按时提交研发期间安全性更新报告、其他潜在的严重安全性风险信息报告。</w:t>
      </w:r>
    </w:p>
    <w:p w14:paraId="2E245E73">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甲方及时告知</w:t>
      </w:r>
      <w:r>
        <w:rPr>
          <w:rFonts w:hint="eastAsia"/>
          <w:sz w:val="24"/>
          <w:szCs w:val="20"/>
          <w:lang w:val="en-US" w:eastAsia="zh-CN"/>
        </w:rPr>
        <w:t>乙方</w:t>
      </w:r>
      <w:r>
        <w:rPr>
          <w:rFonts w:hint="eastAsia"/>
          <w:sz w:val="24"/>
          <w:szCs w:val="20"/>
        </w:rPr>
        <w:t>及主要研究者试验实施过程中存在的问题，以便</w:t>
      </w:r>
      <w:r>
        <w:rPr>
          <w:rFonts w:hint="eastAsia"/>
          <w:sz w:val="24"/>
          <w:szCs w:val="20"/>
          <w:lang w:val="en-US" w:eastAsia="zh-CN"/>
        </w:rPr>
        <w:t>乙方</w:t>
      </w:r>
      <w:r>
        <w:rPr>
          <w:rFonts w:hint="eastAsia"/>
          <w:sz w:val="24"/>
          <w:szCs w:val="20"/>
        </w:rPr>
        <w:t>及主要研究者及时采取必要的措施保障受试者的安全及权益。</w:t>
      </w:r>
    </w:p>
    <w:p w14:paraId="77288BBE">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根据伦理委员会要求，甲方应向伦理委员会提供年度/定期跟踪审查报告。</w:t>
      </w:r>
    </w:p>
    <w:p w14:paraId="7CD34C3B">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甲方提前终止或暂停一项临床试验，应当立即告知研究者和</w:t>
      </w:r>
      <w:r>
        <w:rPr>
          <w:rFonts w:hint="eastAsia"/>
          <w:sz w:val="24"/>
          <w:szCs w:val="20"/>
          <w:lang w:val="en-US" w:eastAsia="zh-CN"/>
        </w:rPr>
        <w:t>乙方</w:t>
      </w:r>
      <w:r>
        <w:rPr>
          <w:rFonts w:hint="eastAsia"/>
          <w:sz w:val="24"/>
          <w:szCs w:val="20"/>
        </w:rPr>
        <w:t>临床试验机构、伦理委员会和药品监督管理部门，并说明理由，同时根据乙方要求对临床试验相关资料进行归档。</w:t>
      </w:r>
    </w:p>
    <w:p w14:paraId="55D111FF">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按照乙方管理制度完成项目结题后，甲方向乙方临床试验机构和伦理委员会递交临床试验总结报告。</w:t>
      </w:r>
    </w:p>
    <w:p w14:paraId="1FC61DC2">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研究者进行临床试验时不遵守已批准的方案、GCP或有关法规，甲方应指出以求纠正。如情况严重或持续不改，甲方有权终止乙方参加临床试验。</w:t>
      </w:r>
    </w:p>
    <w:p w14:paraId="7CFADD35">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本研究的试验药物获得药品注册证后，甲方应及时通知乙方，并寄送证书复印件。试验结束后，药品上市前，根据受试者具体情况转用其它同类已上市药物或其他治疗手段；对于无其它治疗手段或药物的疾病，基于受试者知情同意和相关药品监督管理部门批准后，甲方可开展扩展期临床试验给与取得获益的受试者继续接受治疗（如适用）。</w:t>
      </w:r>
    </w:p>
    <w:p w14:paraId="6A8585AA">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甲方向乙方</w:t>
      </w:r>
      <w:r>
        <w:rPr>
          <w:rFonts w:hint="eastAsia"/>
          <w:sz w:val="24"/>
          <w:szCs w:val="20"/>
          <w:lang w:val="en-US" w:eastAsia="zh-CN"/>
        </w:rPr>
        <w:t>按照约定</w:t>
      </w:r>
      <w:r>
        <w:rPr>
          <w:rFonts w:hint="eastAsia"/>
          <w:sz w:val="24"/>
          <w:szCs w:val="20"/>
        </w:rPr>
        <w:t>支付相应的研究费用。</w:t>
      </w:r>
    </w:p>
    <w:p w14:paraId="53E85735">
      <w:p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b/>
          <w:color w:val="000000"/>
          <w:sz w:val="24"/>
          <w:szCs w:val="20"/>
        </w:rPr>
      </w:pPr>
      <w:r>
        <w:rPr>
          <w:rFonts w:hint="eastAsia"/>
          <w:b/>
          <w:color w:val="000000"/>
          <w:sz w:val="24"/>
          <w:szCs w:val="20"/>
        </w:rPr>
        <w:t>乙方</w:t>
      </w:r>
      <w:r>
        <w:rPr>
          <w:b/>
          <w:color w:val="000000"/>
          <w:sz w:val="24"/>
          <w:szCs w:val="20"/>
        </w:rPr>
        <w:t>：</w:t>
      </w:r>
    </w:p>
    <w:p w14:paraId="01BA88C5">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研究者应当认真阅读临床试验方案、严格按伦理委员会批准的临床试验方案进行研究</w:t>
      </w:r>
      <w:r>
        <w:rPr>
          <w:rFonts w:hint="eastAsia"/>
          <w:color w:val="000000"/>
          <w:sz w:val="24"/>
          <w:szCs w:val="20"/>
          <w:lang w:eastAsia="zh-CN"/>
        </w:rPr>
        <w:t>。</w:t>
      </w:r>
    </w:p>
    <w:p w14:paraId="3185AEBC">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保证将临床试验数据准确、完整、及时、地载入病历及病例报告表。</w:t>
      </w:r>
    </w:p>
    <w:p w14:paraId="36375E5F">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研究者负责做出与临床试验相关的医疗决定，保证受试者在试验期间出现不良事件时得到适当的治疗。</w:t>
      </w:r>
    </w:p>
    <w:p w14:paraId="2E118B11">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在临床试验过程中如发生严重不良事件，研究者应立即对受试者采取适当的治疗措施，同时立即书面报告甲方（除试验方案或者其他文件中规定不需立即报告的严重不良事件外）、</w:t>
      </w:r>
      <w:r>
        <w:rPr>
          <w:rFonts w:hint="eastAsia"/>
          <w:color w:val="000000"/>
          <w:sz w:val="24"/>
          <w:szCs w:val="20"/>
          <w:lang w:val="en-US" w:eastAsia="zh-CN"/>
        </w:rPr>
        <w:t>乙方</w:t>
      </w:r>
      <w:r>
        <w:rPr>
          <w:rFonts w:hint="eastAsia"/>
          <w:color w:val="000000"/>
          <w:sz w:val="24"/>
          <w:szCs w:val="20"/>
        </w:rPr>
        <w:t>伦理委员会和临床试验机构。</w:t>
      </w:r>
    </w:p>
    <w:p w14:paraId="09CA0998">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 xml:space="preserve">提前终止或者暂停临床试验时，研究者应当及时通知受试者，并给予受试者适当的治疗和随访。此外： </w:t>
      </w:r>
    </w:p>
    <w:p w14:paraId="1F230AAD">
      <w:pPr>
        <w:numPr>
          <w:ilvl w:val="0"/>
          <w:numId w:val="0"/>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left="718" w:leftChars="342" w:firstLine="0" w:firstLineChars="0"/>
        <w:jc w:val="both"/>
        <w:rPr>
          <w:rFonts w:hint="eastAsia"/>
          <w:color w:val="000000"/>
          <w:sz w:val="24"/>
          <w:szCs w:val="20"/>
        </w:rPr>
      </w:pPr>
      <w:r>
        <w:rPr>
          <w:rFonts w:hint="eastAsia"/>
          <w:color w:val="000000"/>
          <w:sz w:val="24"/>
          <w:szCs w:val="20"/>
        </w:rPr>
        <w:t>①研究者未与甲方商议而终止或者暂停临床试验，研究者应当立即向临床试验机构、甲方和伦理委员会报告，并提供详细的书面说明。</w:t>
      </w:r>
    </w:p>
    <w:p w14:paraId="16F003CF">
      <w:pPr>
        <w:numPr>
          <w:ilvl w:val="0"/>
          <w:numId w:val="0"/>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left="718" w:leftChars="342" w:firstLine="0" w:firstLineChars="0"/>
        <w:jc w:val="both"/>
        <w:rPr>
          <w:rFonts w:hint="eastAsia"/>
          <w:color w:val="000000"/>
          <w:sz w:val="24"/>
          <w:szCs w:val="20"/>
        </w:rPr>
      </w:pPr>
      <w:r>
        <w:rPr>
          <w:rFonts w:hint="eastAsia"/>
          <w:color w:val="000000"/>
          <w:sz w:val="24"/>
          <w:szCs w:val="20"/>
        </w:rPr>
        <w:t>②伦理委员会终止或者暂停已经同意的临床试验，研究者应当立即向临床试验机构、甲方报告，并提供详细书面说明。</w:t>
      </w:r>
    </w:p>
    <w:p w14:paraId="0C394260">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接受甲方组织的监查、稽查以及药品监督管理部门现场检查，并提供便利条件。协助甲方解答主管部门或数据统计部门对本临床研究提出的各项疑问。</w:t>
      </w:r>
    </w:p>
    <w:p w14:paraId="107270C3">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乙方负责协助撰写，审阅临床试验总结报告，签名并注明日期。</w:t>
      </w:r>
    </w:p>
    <w:p w14:paraId="4A037F6E">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根据国家相关法规要求，在获得中国人类遗传资源管理办公室的行政许可后开展受试者入组工作，并负责向受试者说明经伦理委员会同意的有关试验方案详细情况，并取得知情同意书。</w:t>
      </w:r>
    </w:p>
    <w:p w14:paraId="35EEE7CC">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研究者和临床试验机构对甲方提供的试验用药品有管理责任，应保证将试验药品用于本临床试验。试验用药品在临床试验机构的接收、贮存、分发、回收、退还及未使用的处置等管理应当遵守相应的规定并保存记录，应当确保试验用药品按照试验方案使用。</w:t>
      </w:r>
    </w:p>
    <w:p w14:paraId="4646C810">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研究者和临床试验机构允许监查员、稽查员、伦理委员会的审查者及药品监督管理部门的检查人员，能够直接查阅临床试验相关的源数据和源文件和报告。</w:t>
      </w:r>
    </w:p>
    <w:p w14:paraId="2AEF2934">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乙方确保包括研究机构自身以及主要研究者在内的所有研究工作人员在本研究开展期间都遵守利益冲突回避原则。</w:t>
      </w:r>
    </w:p>
    <w:p w14:paraId="19B1A6E0">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试验期间，乙方根据机构相关制度及SOP进行项目质控与质量保障。</w:t>
      </w:r>
    </w:p>
    <w:p w14:paraId="5C231EEC">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若因试验产品的不良反应、疗效及不可抗力等问题而中断临床试验所造成的一切损失，乙方不承担任何责任。</w:t>
      </w:r>
    </w:p>
    <w:p w14:paraId="467FF9CB">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sz w:val="24"/>
          <w:szCs w:val="20"/>
        </w:rPr>
      </w:pPr>
      <w:r>
        <w:rPr>
          <w:rFonts w:hint="eastAsia"/>
          <w:color w:val="000000"/>
          <w:sz w:val="24"/>
          <w:szCs w:val="20"/>
        </w:rPr>
        <w:t>负责甲方提供的研究经费的管理，协调处理甲方提出的临床试验相关的合理要求。</w:t>
      </w:r>
    </w:p>
    <w:p w14:paraId="1A5877BD">
      <w:pPr>
        <w:numPr>
          <w:ilvl w:val="0"/>
          <w:numId w:val="1"/>
        </w:numPr>
        <w:spacing w:after="93" w:line="360" w:lineRule="auto"/>
        <w:ind w:left="283" w:leftChars="0" w:hanging="283" w:firstLineChars="0"/>
        <w:outlineLvl w:val="0"/>
        <w:rPr>
          <w:rFonts w:hint="eastAsia" w:ascii="宋体" w:hAnsi="宋体" w:cs="宋体"/>
          <w:b/>
          <w:kern w:val="0"/>
          <w:sz w:val="24"/>
          <w:szCs w:val="20"/>
        </w:rPr>
      </w:pPr>
      <w:bookmarkStart w:id="1" w:name="_Toc30263"/>
      <w:r>
        <w:rPr>
          <w:rFonts w:hint="eastAsia" w:ascii="宋体" w:hAnsi="宋体" w:cs="宋体"/>
          <w:b/>
          <w:kern w:val="0"/>
          <w:sz w:val="24"/>
          <w:szCs w:val="20"/>
        </w:rPr>
        <w:t>遵守法律法规</w:t>
      </w:r>
      <w:bookmarkEnd w:id="1"/>
    </w:p>
    <w:p w14:paraId="05D92980">
      <w:pPr>
        <w:spacing w:after="93" w:line="360" w:lineRule="auto"/>
        <w:ind w:firstLine="480"/>
        <w:rPr>
          <w:kern w:val="0"/>
          <w:sz w:val="24"/>
        </w:rPr>
      </w:pPr>
      <w:r>
        <w:rPr>
          <w:rFonts w:hint="eastAsia"/>
          <w:sz w:val="24"/>
          <w:szCs w:val="20"/>
        </w:rPr>
        <w:t>甲乙双方承诺</w:t>
      </w:r>
      <w:r>
        <w:rPr>
          <w:rFonts w:hint="eastAsia" w:ascii="宋体" w:hAnsi="宋体" w:cs="宋体"/>
          <w:color w:val="000000"/>
          <w:kern w:val="0"/>
          <w:sz w:val="24"/>
          <w:szCs w:val="20"/>
        </w:rPr>
        <w:t>临床试验的实施过程中遵守</w:t>
      </w:r>
      <w:r>
        <w:rPr>
          <w:kern w:val="0"/>
          <w:sz w:val="24"/>
        </w:rPr>
        <w:t>《药物临床试验质量管理规范》</w:t>
      </w:r>
      <w:r>
        <w:rPr>
          <w:rFonts w:hint="eastAsia"/>
          <w:kern w:val="0"/>
          <w:sz w:val="24"/>
          <w:lang w:eastAsia="zh-CN"/>
        </w:rPr>
        <w:t>、</w:t>
      </w:r>
      <w:r>
        <w:rPr>
          <w:rFonts w:hint="eastAsia"/>
          <w:kern w:val="0"/>
          <w:sz w:val="24"/>
        </w:rPr>
        <w:t>IC</w:t>
      </w:r>
      <w:r>
        <w:rPr>
          <w:kern w:val="0"/>
          <w:sz w:val="24"/>
        </w:rPr>
        <w:t>H-GCP、《赫尔辛基宣言》的伦理原则</w:t>
      </w:r>
      <w:r>
        <w:rPr>
          <w:rFonts w:hint="eastAsia"/>
          <w:kern w:val="0"/>
          <w:sz w:val="24"/>
        </w:rPr>
        <w:t>、《中华人民共和国人类遗传资源管理条例》</w:t>
      </w:r>
      <w:r>
        <w:rPr>
          <w:rFonts w:hint="eastAsia" w:ascii="宋体" w:hAnsi="宋体" w:cs="宋体"/>
          <w:color w:val="000000"/>
          <w:kern w:val="0"/>
          <w:sz w:val="24"/>
          <w:szCs w:val="20"/>
        </w:rPr>
        <w:t>及相关的临床试验的法律法规</w:t>
      </w:r>
      <w:r>
        <w:rPr>
          <w:rFonts w:hint="eastAsia"/>
          <w:kern w:val="0"/>
          <w:sz w:val="24"/>
        </w:rPr>
        <w:t>。</w:t>
      </w:r>
    </w:p>
    <w:p w14:paraId="08962B90">
      <w:pPr>
        <w:numPr>
          <w:ilvl w:val="0"/>
          <w:numId w:val="1"/>
        </w:numPr>
        <w:spacing w:after="93" w:line="360" w:lineRule="auto"/>
        <w:ind w:left="283" w:leftChars="0" w:hanging="283" w:firstLineChars="0"/>
        <w:outlineLvl w:val="0"/>
        <w:rPr>
          <w:rFonts w:hint="eastAsia" w:ascii="宋体" w:hAnsi="宋体" w:cs="宋体"/>
          <w:b/>
          <w:kern w:val="0"/>
          <w:sz w:val="24"/>
          <w:szCs w:val="20"/>
        </w:rPr>
      </w:pPr>
      <w:bookmarkStart w:id="2" w:name="_Toc23446"/>
      <w:r>
        <w:rPr>
          <w:rFonts w:hint="eastAsia" w:ascii="宋体" w:hAnsi="宋体" w:cs="宋体"/>
          <w:b/>
          <w:kern w:val="0"/>
          <w:sz w:val="24"/>
          <w:szCs w:val="20"/>
        </w:rPr>
        <w:t>研究方案</w:t>
      </w:r>
      <w:bookmarkEnd w:id="2"/>
    </w:p>
    <w:p w14:paraId="3FB23DCA">
      <w:pPr>
        <w:spacing w:after="93" w:line="360" w:lineRule="auto"/>
        <w:ind w:firstLine="480"/>
        <w:rPr>
          <w:rFonts w:ascii="宋体" w:hAnsi="宋体" w:cs="宋体"/>
          <w:color w:val="000000"/>
          <w:kern w:val="0"/>
          <w:sz w:val="24"/>
          <w:szCs w:val="20"/>
        </w:rPr>
      </w:pPr>
      <w:r>
        <w:rPr>
          <w:rFonts w:hint="eastAsia"/>
          <w:sz w:val="24"/>
          <w:szCs w:val="20"/>
        </w:rPr>
        <w:t>甲乙双方承诺</w:t>
      </w:r>
      <w:r>
        <w:rPr>
          <w:rFonts w:hint="eastAsia" w:ascii="宋体" w:hAnsi="宋体" w:cs="宋体"/>
          <w:color w:val="000000"/>
          <w:kern w:val="0"/>
          <w:sz w:val="24"/>
          <w:szCs w:val="20"/>
        </w:rPr>
        <w:t>执行经过申办者和研究者协商确定的、伦理委员会同意的试验方案；遵守数据记录和报告程序。</w:t>
      </w:r>
    </w:p>
    <w:p w14:paraId="16D83B06">
      <w:pPr>
        <w:numPr>
          <w:ilvl w:val="0"/>
          <w:numId w:val="1"/>
        </w:numPr>
        <w:spacing w:after="93" w:line="360" w:lineRule="auto"/>
        <w:ind w:left="283" w:leftChars="0" w:hanging="283" w:firstLineChars="0"/>
        <w:outlineLvl w:val="0"/>
        <w:rPr>
          <w:rFonts w:hint="eastAsia" w:ascii="宋体" w:hAnsi="宋体" w:cs="宋体"/>
          <w:b/>
          <w:kern w:val="0"/>
          <w:sz w:val="24"/>
          <w:szCs w:val="20"/>
        </w:rPr>
      </w:pPr>
      <w:bookmarkStart w:id="3" w:name="_Toc32698"/>
      <w:r>
        <w:rPr>
          <w:rFonts w:hint="eastAsia" w:ascii="宋体" w:hAnsi="宋体" w:cs="宋体"/>
          <w:b/>
          <w:kern w:val="0"/>
          <w:sz w:val="24"/>
          <w:szCs w:val="20"/>
        </w:rPr>
        <w:t>研究计划</w:t>
      </w:r>
      <w:bookmarkEnd w:id="3"/>
    </w:p>
    <w:p w14:paraId="338894EF">
      <w:pPr>
        <w:spacing w:after="93"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本研究计划于</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rPr>
        <w:t>年</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rPr>
        <w:t>月开展，计划入组病例数</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例，预计完成时间为</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年</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月。</w:t>
      </w:r>
    </w:p>
    <w:p w14:paraId="58A299BF">
      <w:pPr>
        <w:numPr>
          <w:ilvl w:val="0"/>
          <w:numId w:val="1"/>
        </w:numPr>
        <w:spacing w:after="93" w:line="360" w:lineRule="auto"/>
        <w:ind w:left="283" w:leftChars="0" w:hanging="283" w:firstLineChars="0"/>
        <w:outlineLvl w:val="0"/>
        <w:rPr>
          <w:rFonts w:ascii="宋体" w:hAnsi="宋体" w:cs="宋体"/>
          <w:b/>
          <w:kern w:val="0"/>
          <w:sz w:val="24"/>
          <w:szCs w:val="20"/>
        </w:rPr>
      </w:pPr>
      <w:bookmarkStart w:id="4" w:name="_Toc18491"/>
      <w:r>
        <w:rPr>
          <w:rFonts w:hint="eastAsia" w:ascii="宋体" w:hAnsi="宋体" w:cs="宋体"/>
          <w:b/>
          <w:kern w:val="0"/>
          <w:sz w:val="24"/>
          <w:szCs w:val="20"/>
        </w:rPr>
        <w:t>评价方法</w:t>
      </w:r>
      <w:bookmarkEnd w:id="4"/>
    </w:p>
    <w:p w14:paraId="1AB7475E">
      <w:pPr>
        <w:spacing w:after="93" w:line="360" w:lineRule="auto"/>
        <w:ind w:firstLine="480" w:firstLineChars="200"/>
        <w:rPr>
          <w:rFonts w:ascii="宋体" w:hAnsi="宋体" w:cs="宋体"/>
          <w:kern w:val="0"/>
          <w:sz w:val="24"/>
          <w:szCs w:val="20"/>
        </w:rPr>
      </w:pPr>
      <w:r>
        <w:rPr>
          <w:rFonts w:hint="eastAsia"/>
          <w:sz w:val="24"/>
          <w:szCs w:val="20"/>
        </w:rPr>
        <w:t>甲方按GCP的相关规定和临床试验方案的要求，对乙方的临床试验工作进行核验。乙方负责药物在审评中专家提出的相关问题的解答，</w:t>
      </w:r>
      <w:r>
        <w:rPr>
          <w:sz w:val="24"/>
          <w:szCs w:val="20"/>
        </w:rPr>
        <w:t>但相关费用由甲方负责</w:t>
      </w:r>
      <w:r>
        <w:rPr>
          <w:rFonts w:hint="eastAsia"/>
          <w:sz w:val="24"/>
          <w:szCs w:val="20"/>
        </w:rPr>
        <w:t>。若乙方的临床试验工作不符合GCP要求、未遵循临床试验方案，乙方应补充、完善相关试验工作，直至符合GCP和临床试验方案要求。若因试验用</w:t>
      </w:r>
      <w:r>
        <w:rPr>
          <w:sz w:val="24"/>
          <w:szCs w:val="20"/>
        </w:rPr>
        <w:t>药品</w:t>
      </w:r>
      <w:r>
        <w:rPr>
          <w:rFonts w:hint="eastAsia"/>
          <w:sz w:val="24"/>
          <w:szCs w:val="20"/>
        </w:rPr>
        <w:t>问题影响审评通过，责任由甲方负责。</w:t>
      </w:r>
    </w:p>
    <w:p w14:paraId="039B369C">
      <w:pPr>
        <w:numPr>
          <w:ilvl w:val="0"/>
          <w:numId w:val="1"/>
        </w:numPr>
        <w:spacing w:after="93" w:line="360" w:lineRule="auto"/>
        <w:ind w:left="283" w:leftChars="0" w:hanging="283" w:firstLineChars="0"/>
        <w:outlineLvl w:val="0"/>
        <w:rPr>
          <w:rFonts w:ascii="宋体" w:hAnsi="宋体" w:cs="宋体"/>
          <w:b/>
          <w:kern w:val="0"/>
          <w:sz w:val="24"/>
          <w:szCs w:val="20"/>
        </w:rPr>
      </w:pPr>
      <w:bookmarkStart w:id="5" w:name="_Toc31452"/>
      <w:r>
        <w:rPr>
          <w:rFonts w:hint="eastAsia" w:ascii="宋体" w:hAnsi="宋体" w:cs="宋体"/>
          <w:b/>
          <w:kern w:val="0"/>
          <w:sz w:val="24"/>
          <w:szCs w:val="20"/>
        </w:rPr>
        <w:t>提前终止</w:t>
      </w:r>
      <w:bookmarkEnd w:id="5"/>
    </w:p>
    <w:p w14:paraId="530F2A0A">
      <w:pPr>
        <w:spacing w:after="93" w:line="360" w:lineRule="auto"/>
        <w:ind w:firstLine="480" w:firstLineChars="200"/>
        <w:rPr>
          <w:rFonts w:ascii="宋体" w:hAnsi="宋体" w:cs="宋体"/>
          <w:kern w:val="0"/>
          <w:sz w:val="24"/>
          <w:szCs w:val="20"/>
        </w:rPr>
      </w:pPr>
      <w:r>
        <w:rPr>
          <w:rFonts w:hint="eastAsia" w:ascii="宋体" w:hAnsi="宋体" w:cs="宋体"/>
          <w:color w:val="000000"/>
          <w:kern w:val="0"/>
          <w:sz w:val="24"/>
          <w:szCs w:val="20"/>
        </w:rPr>
        <w:t>如研究在预期结束前提前终止，甲乙双方应尽快组织人员对试验经费进行清算，并尽快完成付款或退款。</w:t>
      </w:r>
      <w:r>
        <w:rPr>
          <w:rFonts w:hint="eastAsia" w:ascii="宋体" w:hAnsi="宋体" w:cs="宋体"/>
          <w:color w:val="000000"/>
          <w:kern w:val="0"/>
          <w:sz w:val="24"/>
          <w:szCs w:val="20"/>
          <w:lang w:val="en-US" w:eastAsia="zh-CN"/>
        </w:rPr>
        <w:t>机构</w:t>
      </w:r>
      <w:r>
        <w:rPr>
          <w:rFonts w:hint="eastAsia" w:ascii="宋体" w:hAnsi="宋体" w:cs="宋体"/>
          <w:color w:val="000000"/>
          <w:kern w:val="0"/>
          <w:sz w:val="24"/>
          <w:szCs w:val="20"/>
        </w:rPr>
        <w:t>管理费在费用到账后即扣除，项目终止时不退还已扣除的费用，其余部分按实际发生的费用结算。如预支付的费用超过实际发生的费用，甲方将收回预支付的多余款项；反之，甲方将予以补足。</w:t>
      </w:r>
    </w:p>
    <w:p w14:paraId="73BCFFE4">
      <w:pPr>
        <w:numPr>
          <w:ilvl w:val="0"/>
          <w:numId w:val="1"/>
        </w:numPr>
        <w:spacing w:after="93" w:line="360" w:lineRule="auto"/>
        <w:ind w:left="283" w:leftChars="0" w:hanging="283" w:firstLineChars="0"/>
        <w:outlineLvl w:val="0"/>
        <w:rPr>
          <w:rFonts w:ascii="宋体" w:hAnsi="宋体" w:cs="宋体"/>
          <w:b/>
          <w:kern w:val="0"/>
          <w:sz w:val="24"/>
          <w:szCs w:val="20"/>
        </w:rPr>
      </w:pPr>
      <w:bookmarkStart w:id="6" w:name="_Toc32184"/>
      <w:r>
        <w:rPr>
          <w:rFonts w:hint="eastAsia" w:ascii="宋体" w:hAnsi="宋体" w:cs="宋体"/>
          <w:b/>
          <w:kern w:val="0"/>
          <w:sz w:val="24"/>
          <w:szCs w:val="20"/>
        </w:rPr>
        <w:t>保密</w:t>
      </w:r>
      <w:r>
        <w:rPr>
          <w:rFonts w:ascii="宋体" w:hAnsi="宋体" w:cs="宋体"/>
          <w:b/>
          <w:kern w:val="0"/>
          <w:sz w:val="24"/>
          <w:szCs w:val="20"/>
        </w:rPr>
        <w:t>责任</w:t>
      </w:r>
      <w:bookmarkEnd w:id="6"/>
    </w:p>
    <w:p w14:paraId="5AC681B4">
      <w:pPr>
        <w:spacing w:after="93" w:line="360" w:lineRule="auto"/>
        <w:ind w:firstLine="480" w:firstLineChars="200"/>
        <w:jc w:val="both"/>
        <w:rPr>
          <w:rFonts w:ascii="宋体" w:hAnsi="宋体" w:cs="宋体"/>
          <w:kern w:val="0"/>
          <w:sz w:val="24"/>
          <w:szCs w:val="20"/>
        </w:rPr>
      </w:pPr>
      <w:r>
        <w:rPr>
          <w:rFonts w:hint="eastAsia" w:ascii="宋体" w:hAnsi="宋体" w:cs="宋体"/>
          <w:kern w:val="0"/>
          <w:sz w:val="24"/>
          <w:szCs w:val="20"/>
        </w:rPr>
        <w:t>甲乙</w:t>
      </w:r>
      <w:r>
        <w:rPr>
          <w:rFonts w:ascii="宋体" w:hAnsi="宋体" w:cs="宋体"/>
          <w:kern w:val="0"/>
          <w:sz w:val="24"/>
          <w:szCs w:val="20"/>
        </w:rPr>
        <w:t>双方应当</w:t>
      </w:r>
      <w:r>
        <w:rPr>
          <w:rFonts w:hint="eastAsia" w:ascii="宋体" w:hAnsi="宋体" w:cs="宋体"/>
          <w:kern w:val="0"/>
          <w:sz w:val="24"/>
          <w:szCs w:val="20"/>
        </w:rPr>
        <w:t>保护受试者的隐私和其相关信息的保密性。受试者相关身份鉴别记录的保密事宜，不公开使用。如果发布临床试验结果，受试者的身份信息仍保密。</w:t>
      </w:r>
    </w:p>
    <w:p w14:paraId="228F5D5D">
      <w:pPr>
        <w:spacing w:after="93" w:line="360" w:lineRule="auto"/>
        <w:ind w:firstLine="480" w:firstLineChars="200"/>
        <w:jc w:val="both"/>
        <w:rPr>
          <w:rFonts w:ascii="宋体" w:hAnsi="宋体" w:cs="宋体"/>
          <w:color w:val="FF0000"/>
          <w:kern w:val="0"/>
          <w:sz w:val="24"/>
          <w:szCs w:val="20"/>
        </w:rPr>
      </w:pPr>
      <w:r>
        <w:rPr>
          <w:rFonts w:hint="eastAsia"/>
          <w:kern w:val="0"/>
          <w:sz w:val="24"/>
        </w:rPr>
        <w:t>乙方</w:t>
      </w:r>
      <w:r>
        <w:rPr>
          <w:kern w:val="0"/>
          <w:sz w:val="24"/>
        </w:rPr>
        <w:t>有责任对</w:t>
      </w:r>
      <w:r>
        <w:rPr>
          <w:rFonts w:hint="eastAsia"/>
          <w:kern w:val="0"/>
          <w:sz w:val="24"/>
        </w:rPr>
        <w:t>甲</w:t>
      </w:r>
      <w:r>
        <w:rPr>
          <w:kern w:val="0"/>
          <w:sz w:val="24"/>
        </w:rPr>
        <w:t>方提供的任何研究资料以及在研究中得到的试验数据保密</w:t>
      </w:r>
      <w:r>
        <w:rPr>
          <w:rFonts w:hint="eastAsia"/>
          <w:kern w:val="0"/>
          <w:sz w:val="24"/>
        </w:rPr>
        <w:t>。</w:t>
      </w:r>
    </w:p>
    <w:p w14:paraId="0D3D2841">
      <w:pPr>
        <w:numPr>
          <w:ilvl w:val="0"/>
          <w:numId w:val="1"/>
        </w:numPr>
        <w:spacing w:after="93" w:line="360" w:lineRule="auto"/>
        <w:ind w:left="283" w:leftChars="0" w:hanging="283" w:firstLineChars="0"/>
        <w:outlineLvl w:val="0"/>
        <w:rPr>
          <w:rFonts w:ascii="宋体" w:hAnsi="宋体" w:cs="宋体"/>
          <w:b/>
          <w:kern w:val="0"/>
          <w:sz w:val="24"/>
          <w:szCs w:val="20"/>
        </w:rPr>
      </w:pPr>
      <w:bookmarkStart w:id="7" w:name="_Toc10074"/>
      <w:r>
        <w:rPr>
          <w:rFonts w:hint="eastAsia" w:ascii="宋体" w:hAnsi="宋体" w:cs="宋体"/>
          <w:b/>
          <w:kern w:val="0"/>
          <w:sz w:val="24"/>
          <w:szCs w:val="20"/>
        </w:rPr>
        <w:t>知识产权</w:t>
      </w:r>
      <w:r>
        <w:rPr>
          <w:rFonts w:hint="eastAsia" w:ascii="宋体" w:hAnsi="宋体" w:cs="宋体"/>
          <w:b/>
          <w:kern w:val="0"/>
          <w:sz w:val="24"/>
          <w:szCs w:val="20"/>
          <w:lang w:val="en-US" w:eastAsia="zh-CN"/>
        </w:rPr>
        <w:t>以及发表</w:t>
      </w:r>
      <w:bookmarkEnd w:id="7"/>
    </w:p>
    <w:p w14:paraId="59246A9B">
      <w:pPr>
        <w:numPr>
          <w:ilvl w:val="0"/>
          <w:numId w:val="4"/>
        </w:numPr>
        <w:spacing w:after="93" w:line="360" w:lineRule="auto"/>
        <w:ind w:firstLine="480" w:firstLineChars="200"/>
        <w:rPr>
          <w:rFonts w:hint="eastAsia"/>
          <w:kern w:val="0"/>
          <w:sz w:val="24"/>
        </w:rPr>
      </w:pPr>
      <w:r>
        <w:rPr>
          <w:rFonts w:hint="eastAsia"/>
          <w:kern w:val="0"/>
          <w:sz w:val="24"/>
        </w:rPr>
        <w:t>双方一致同意，本合同签订前，各方用于本临床试验的背景知识产权属于各方所有。</w:t>
      </w:r>
    </w:p>
    <w:p w14:paraId="3FC65A64">
      <w:pPr>
        <w:numPr>
          <w:ilvl w:val="0"/>
          <w:numId w:val="4"/>
        </w:numPr>
        <w:spacing w:after="93" w:line="360" w:lineRule="auto"/>
        <w:ind w:firstLine="480" w:firstLineChars="200"/>
        <w:rPr>
          <w:rFonts w:hint="eastAsia"/>
          <w:kern w:val="0"/>
          <w:sz w:val="24"/>
        </w:rPr>
      </w:pPr>
      <w:r>
        <w:rPr>
          <w:rFonts w:hint="eastAsia"/>
          <w:kern w:val="0"/>
          <w:sz w:val="24"/>
        </w:rPr>
        <w:t>乙方、主要研究者与乙方职员在临床研究期间获得的所有病例报告表及与临床试验产品有关的所有知识产权均属于甲方所有，乙方不得将这些数据用于任何商业目的，包括提出专利申请或将数据用于支持任何未决的或将来的专利申请。</w:t>
      </w:r>
      <w:r>
        <w:rPr>
          <w:rFonts w:hint="eastAsia"/>
          <w:kern w:val="0"/>
          <w:sz w:val="24"/>
          <w:lang w:val="en-US" w:eastAsia="zh-CN"/>
        </w:rPr>
        <w:t>乙方</w:t>
      </w:r>
      <w:r>
        <w:rPr>
          <w:rFonts w:hint="eastAsia"/>
          <w:kern w:val="0"/>
          <w:sz w:val="24"/>
        </w:rPr>
        <w:t>保留对原始医疗记录及原始数据（包括但不限于病历）的所有权。试验结束后，甲方</w:t>
      </w:r>
      <w:r>
        <w:rPr>
          <w:rFonts w:hint="eastAsia"/>
          <w:kern w:val="0"/>
          <w:sz w:val="24"/>
          <w:lang w:val="en-US" w:eastAsia="zh-CN"/>
        </w:rPr>
        <w:t>协助主要研究者完成乙方小结报告，若为组长单位，还需向乙方提供</w:t>
      </w:r>
      <w:r>
        <w:rPr>
          <w:rFonts w:hint="eastAsia"/>
          <w:kern w:val="0"/>
          <w:sz w:val="24"/>
        </w:rPr>
        <w:t>临床研究总结报告，研究数据由甲方与</w:t>
      </w:r>
      <w:r>
        <w:rPr>
          <w:rFonts w:hint="eastAsia"/>
          <w:kern w:val="0"/>
          <w:sz w:val="24"/>
          <w:lang w:val="en-US" w:eastAsia="zh-CN"/>
        </w:rPr>
        <w:t>乙方</w:t>
      </w:r>
      <w:r>
        <w:rPr>
          <w:rFonts w:hint="eastAsia"/>
          <w:kern w:val="0"/>
          <w:sz w:val="24"/>
        </w:rPr>
        <w:t>共享。</w:t>
      </w:r>
    </w:p>
    <w:p w14:paraId="67D0EFBD">
      <w:pPr>
        <w:numPr>
          <w:ilvl w:val="0"/>
          <w:numId w:val="4"/>
        </w:numPr>
        <w:spacing w:after="93" w:line="360" w:lineRule="auto"/>
        <w:ind w:firstLine="480" w:firstLineChars="200"/>
        <w:rPr>
          <w:rFonts w:hint="eastAsia"/>
          <w:kern w:val="0"/>
          <w:sz w:val="24"/>
        </w:rPr>
      </w:pPr>
      <w:r>
        <w:rPr>
          <w:rFonts w:hint="eastAsia"/>
          <w:kern w:val="0"/>
          <w:sz w:val="24"/>
        </w:rPr>
        <w:t>甲方在申报本临床试验研究成果时，若引用临床研究资料，乙方应作为协作单位。</w:t>
      </w:r>
    </w:p>
    <w:p w14:paraId="6E61F3DB">
      <w:pPr>
        <w:numPr>
          <w:ilvl w:val="0"/>
          <w:numId w:val="4"/>
        </w:numPr>
        <w:spacing w:after="93" w:line="360" w:lineRule="auto"/>
        <w:ind w:firstLine="480" w:firstLineChars="200"/>
        <w:rPr>
          <w:rFonts w:hint="eastAsia"/>
          <w:kern w:val="0"/>
          <w:sz w:val="24"/>
        </w:rPr>
      </w:pPr>
      <w:r>
        <w:rPr>
          <w:rFonts w:hint="eastAsia"/>
          <w:kern w:val="0"/>
          <w:sz w:val="24"/>
        </w:rPr>
        <w:t>如果试验中涉及探索性研究，研究成果属于中国《人类遗传资源管理条例实施细则》利用我国人类遗传资源开展国际合作科学研究，产生的成果申请专利的，应当由双方共同提出申请，专利权归双方共有。</w:t>
      </w:r>
    </w:p>
    <w:p w14:paraId="274742F1">
      <w:pPr>
        <w:numPr>
          <w:ilvl w:val="-1"/>
          <w:numId w:val="0"/>
        </w:numPr>
        <w:spacing w:after="93" w:line="360" w:lineRule="auto"/>
        <w:ind w:leftChars="0" w:firstLine="480" w:firstLineChars="200"/>
        <w:rPr>
          <w:rFonts w:hint="eastAsia"/>
          <w:kern w:val="0"/>
          <w:sz w:val="24"/>
        </w:rPr>
      </w:pPr>
      <w:r>
        <w:rPr>
          <w:rFonts w:hint="eastAsia"/>
          <w:kern w:val="0"/>
          <w:sz w:val="24"/>
        </w:rPr>
        <w:t>利用我国人类遗传资源开展国际合作科学研究产生的著作、数据、标准、工艺流程等其他科技成果，使用权、转让权和利益分享办法由双方通过合作协议约定；协议没有约定或者约定不明确的，双方都有使用的权利，但向第三方转让须经双方同意，所获收益按双方贡献大小分享；无法确定贡献大小的，由合作双方按照相同份额进行利益分享。</w:t>
      </w:r>
    </w:p>
    <w:p w14:paraId="69CF832E">
      <w:pPr>
        <w:numPr>
          <w:ilvl w:val="0"/>
          <w:numId w:val="4"/>
        </w:numPr>
        <w:spacing w:before="0" w:after="93" w:line="360" w:lineRule="auto"/>
        <w:ind w:firstLine="480" w:firstLineChars="200"/>
        <w:jc w:val="left"/>
        <w:rPr>
          <w:rFonts w:hint="eastAsia"/>
          <w:kern w:val="0"/>
          <w:sz w:val="24"/>
          <w:szCs w:val="24"/>
        </w:rPr>
      </w:pPr>
      <w:r>
        <w:rPr>
          <w:rFonts w:hint="eastAsia"/>
          <w:kern w:val="0"/>
          <w:sz w:val="24"/>
          <w:szCs w:val="24"/>
        </w:rPr>
        <w:t>乙方有权发表与本试验有关的文章，但应当经甲方事先书面同意。如果甲方</w:t>
      </w:r>
      <w:r>
        <w:rPr>
          <w:color w:val="000000"/>
          <w:sz w:val="24"/>
          <w:szCs w:val="20"/>
        </w:rPr>
        <w:t>在收到乙方</w:t>
      </w:r>
      <w:r>
        <w:rPr>
          <w:rFonts w:hint="eastAsia"/>
          <w:color w:val="000000"/>
          <w:sz w:val="24"/>
          <w:szCs w:val="20"/>
        </w:rPr>
        <w:t>申请</w:t>
      </w:r>
      <w:r>
        <w:rPr>
          <w:color w:val="000000"/>
          <w:sz w:val="24"/>
          <w:szCs w:val="20"/>
        </w:rPr>
        <w:t>后</w:t>
      </w:r>
      <w:r>
        <w:rPr>
          <w:rFonts w:hint="eastAsia"/>
          <w:color w:val="000000"/>
          <w:sz w:val="24"/>
          <w:szCs w:val="20"/>
        </w:rPr>
        <w:t>60个</w:t>
      </w:r>
      <w:r>
        <w:rPr>
          <w:color w:val="000000"/>
          <w:sz w:val="24"/>
          <w:szCs w:val="20"/>
        </w:rPr>
        <w:t>工作日内没有回复</w:t>
      </w:r>
      <w:r>
        <w:rPr>
          <w:rFonts w:hint="eastAsia"/>
          <w:color w:val="000000"/>
          <w:sz w:val="24"/>
          <w:szCs w:val="20"/>
        </w:rPr>
        <w:t>，</w:t>
      </w:r>
      <w:r>
        <w:rPr>
          <w:color w:val="000000"/>
          <w:sz w:val="24"/>
          <w:szCs w:val="20"/>
        </w:rPr>
        <w:t>即默认为同意乙方发表。</w:t>
      </w:r>
      <w:r>
        <w:rPr>
          <w:rFonts w:hint="eastAsia"/>
          <w:kern w:val="0"/>
          <w:sz w:val="24"/>
          <w:szCs w:val="24"/>
        </w:rPr>
        <w:t>乙方使用本中心</w:t>
      </w:r>
      <w:r>
        <w:rPr>
          <w:rFonts w:hint="eastAsia"/>
          <w:kern w:val="0"/>
          <w:sz w:val="24"/>
          <w:szCs w:val="24"/>
          <w:lang w:val="en-US" w:eastAsia="zh-CN"/>
        </w:rPr>
        <w:t>项目源</w:t>
      </w:r>
      <w:r>
        <w:rPr>
          <w:rFonts w:hint="eastAsia"/>
          <w:kern w:val="0"/>
          <w:sz w:val="24"/>
          <w:szCs w:val="24"/>
        </w:rPr>
        <w:t>数据完成的文章发表，著作权归乙方所有。乙方有权使用已发表的本研究相关的文章申请国家各级科技成果奖，相关奖励归乙方所有。</w:t>
      </w:r>
    </w:p>
    <w:p w14:paraId="726D6BB5">
      <w:pPr>
        <w:numPr>
          <w:ilvl w:val="0"/>
          <w:numId w:val="1"/>
        </w:numPr>
        <w:spacing w:after="93" w:line="360" w:lineRule="auto"/>
        <w:ind w:left="283" w:leftChars="0" w:hanging="283" w:firstLineChars="0"/>
        <w:outlineLvl w:val="0"/>
        <w:rPr>
          <w:rFonts w:ascii="宋体" w:hAnsi="宋体" w:cs="宋体"/>
          <w:b/>
          <w:kern w:val="0"/>
          <w:sz w:val="24"/>
          <w:szCs w:val="20"/>
        </w:rPr>
      </w:pPr>
      <w:bookmarkStart w:id="8" w:name="_Toc3282"/>
      <w:r>
        <w:rPr>
          <w:rFonts w:hint="eastAsia" w:ascii="宋体" w:hAnsi="宋体" w:cs="宋体"/>
          <w:b/>
          <w:kern w:val="0"/>
          <w:sz w:val="24"/>
          <w:szCs w:val="20"/>
        </w:rPr>
        <w:t>争议解决</w:t>
      </w:r>
      <w:bookmarkEnd w:id="8"/>
    </w:p>
    <w:p w14:paraId="755FE615">
      <w:pPr>
        <w:widowControl/>
        <w:autoSpaceDE w:val="0"/>
        <w:autoSpaceDN w:val="0"/>
        <w:spacing w:line="360" w:lineRule="auto"/>
        <w:ind w:firstLine="480" w:firstLineChars="200"/>
        <w:rPr>
          <w:rFonts w:hint="eastAsia" w:cs="宋体"/>
          <w:color w:val="000000"/>
          <w:kern w:val="0"/>
          <w:sz w:val="24"/>
          <w:szCs w:val="23"/>
        </w:rPr>
      </w:pPr>
      <w:r>
        <w:rPr>
          <w:rFonts w:hint="eastAsia" w:cs="宋体"/>
          <w:color w:val="000000"/>
          <w:kern w:val="0"/>
          <w:sz w:val="24"/>
          <w:szCs w:val="23"/>
        </w:rPr>
        <w:t>协议中未尽事宜，随时协商解决。</w:t>
      </w:r>
    </w:p>
    <w:p w14:paraId="7F0E05F6">
      <w:pPr>
        <w:widowControl/>
        <w:autoSpaceDE w:val="0"/>
        <w:autoSpaceDN w:val="0"/>
        <w:spacing w:line="360" w:lineRule="auto"/>
        <w:ind w:firstLine="480" w:firstLineChars="200"/>
        <w:rPr>
          <w:rFonts w:hint="eastAsia" w:cs="宋体"/>
          <w:color w:val="000000"/>
          <w:kern w:val="0"/>
          <w:sz w:val="24"/>
          <w:szCs w:val="23"/>
        </w:rPr>
      </w:pPr>
      <w:r>
        <w:rPr>
          <w:rFonts w:hint="eastAsia" w:cs="宋体"/>
          <w:color w:val="000000"/>
          <w:kern w:val="0"/>
          <w:sz w:val="24"/>
          <w:szCs w:val="23"/>
        </w:rPr>
        <w:t>甲乙双方若发生不能通过协商解决之争议，则提交</w:t>
      </w:r>
      <w:r>
        <w:rPr>
          <w:rFonts w:hint="eastAsia" w:cs="宋体"/>
          <w:color w:val="000000"/>
          <w:kern w:val="0"/>
          <w:sz w:val="24"/>
          <w:szCs w:val="23"/>
          <w:lang w:val="en-US" w:eastAsia="zh-CN"/>
        </w:rPr>
        <w:t>乙方</w:t>
      </w:r>
      <w:r>
        <w:rPr>
          <w:rFonts w:hint="eastAsia" w:cs="宋体"/>
          <w:color w:val="000000"/>
          <w:kern w:val="0"/>
          <w:sz w:val="24"/>
          <w:szCs w:val="23"/>
        </w:rPr>
        <w:t>所在地人民法院裁决。</w:t>
      </w:r>
    </w:p>
    <w:p w14:paraId="20336B4F">
      <w:pPr>
        <w:numPr>
          <w:ilvl w:val="0"/>
          <w:numId w:val="1"/>
        </w:numPr>
        <w:spacing w:after="93" w:line="360" w:lineRule="auto"/>
        <w:ind w:left="283" w:leftChars="0" w:hanging="283" w:firstLineChars="0"/>
        <w:outlineLvl w:val="0"/>
        <w:rPr>
          <w:rFonts w:ascii="宋体" w:hAnsi="宋体" w:cs="宋体"/>
          <w:b/>
          <w:kern w:val="0"/>
          <w:sz w:val="24"/>
          <w:szCs w:val="20"/>
        </w:rPr>
      </w:pPr>
      <w:bookmarkStart w:id="9" w:name="_Toc15031"/>
      <w:r>
        <w:rPr>
          <w:rFonts w:hint="eastAsia" w:ascii="宋体" w:hAnsi="宋体" w:cs="宋体"/>
          <w:b/>
          <w:kern w:val="0"/>
          <w:sz w:val="24"/>
          <w:szCs w:val="20"/>
        </w:rPr>
        <w:t>补偿或赔偿</w:t>
      </w:r>
      <w:bookmarkEnd w:id="9"/>
    </w:p>
    <w:p w14:paraId="079A4A8B">
      <w:pPr>
        <w:spacing w:after="93" w:line="360" w:lineRule="auto"/>
        <w:ind w:firstLine="480" w:firstLineChars="200"/>
        <w:rPr>
          <w:rFonts w:hint="eastAsia" w:ascii="宋体" w:hAnsi="宋体" w:cs="宋体"/>
          <w:kern w:val="0"/>
          <w:sz w:val="24"/>
          <w:szCs w:val="20"/>
          <w:lang w:eastAsia="zh-CN"/>
        </w:rPr>
      </w:pPr>
      <w:r>
        <w:rPr>
          <w:rFonts w:hint="eastAsia" w:ascii="宋体" w:hAnsi="宋体" w:cs="宋体"/>
          <w:kern w:val="0"/>
          <w:sz w:val="24"/>
          <w:szCs w:val="20"/>
        </w:rPr>
        <w:t>甲方应当承担受试者与临床试验相关的损害或者死亡的诊疗费用，以及相应的补偿。如果甲方为该研究购买了保险，则由甲方联系保险公司，由保险公司依据保险合同金额支付赔偿金，甲方仍需要负责保险没有涵盖部分的补偿和赔偿。如果保险不能及时赔付到位，由甲方先行垫付</w:t>
      </w:r>
      <w:r>
        <w:rPr>
          <w:rFonts w:hint="eastAsia" w:ascii="宋体" w:hAnsi="宋体" w:cs="宋体"/>
          <w:kern w:val="0"/>
          <w:sz w:val="24"/>
          <w:szCs w:val="20"/>
          <w:lang w:eastAsia="zh-CN"/>
        </w:rPr>
        <w:t>。</w:t>
      </w:r>
    </w:p>
    <w:p w14:paraId="1DCEC843">
      <w:pPr>
        <w:numPr>
          <w:ilvl w:val="0"/>
          <w:numId w:val="1"/>
        </w:numPr>
        <w:spacing w:after="93" w:line="360" w:lineRule="auto"/>
        <w:ind w:left="283" w:leftChars="0" w:hanging="283" w:firstLineChars="0"/>
        <w:outlineLvl w:val="0"/>
        <w:rPr>
          <w:rFonts w:ascii="宋体" w:hAnsi="宋体" w:cs="宋体"/>
          <w:b/>
          <w:kern w:val="0"/>
          <w:sz w:val="24"/>
          <w:szCs w:val="20"/>
        </w:rPr>
      </w:pPr>
      <w:bookmarkStart w:id="10" w:name="_Toc10750"/>
      <w:r>
        <w:rPr>
          <w:rFonts w:hint="eastAsia" w:ascii="宋体" w:hAnsi="宋体" w:cs="宋体"/>
          <w:b/>
          <w:kern w:val="0"/>
          <w:sz w:val="24"/>
          <w:szCs w:val="20"/>
        </w:rPr>
        <w:t>文件</w:t>
      </w:r>
      <w:r>
        <w:rPr>
          <w:rFonts w:ascii="宋体" w:hAnsi="宋体" w:cs="宋体"/>
          <w:b/>
          <w:kern w:val="0"/>
          <w:sz w:val="24"/>
          <w:szCs w:val="20"/>
        </w:rPr>
        <w:t>保存期限</w:t>
      </w:r>
      <w:bookmarkEnd w:id="10"/>
    </w:p>
    <w:p w14:paraId="4FAE22F8">
      <w:pPr>
        <w:spacing w:after="93" w:line="360" w:lineRule="auto"/>
        <w:ind w:firstLine="480" w:firstLineChars="200"/>
        <w:rPr>
          <w:kern w:val="0"/>
          <w:sz w:val="24"/>
        </w:rPr>
      </w:pPr>
      <w:r>
        <w:rPr>
          <w:rFonts w:hint="eastAsia"/>
          <w:sz w:val="24"/>
          <w:szCs w:val="20"/>
        </w:rPr>
        <w:t>乙方负责免费保存临床试验资料5 年，如果在到期前六十天（60 天）内没有收到甲方的后续处理通知，到期后研究机构将按照机构 SOP 处理资料。</w:t>
      </w:r>
      <w:r>
        <w:rPr>
          <w:rFonts w:hint="eastAsia"/>
          <w:kern w:val="0"/>
          <w:sz w:val="24"/>
        </w:rPr>
        <w:t>联系方式如下：</w:t>
      </w:r>
    </w:p>
    <w:p w14:paraId="5E1297C2">
      <w:pPr>
        <w:spacing w:after="93" w:line="348" w:lineRule="auto"/>
        <w:ind w:left="480"/>
        <w:rPr>
          <w:kern w:val="0"/>
          <w:sz w:val="24"/>
          <w:u w:val="single"/>
        </w:rPr>
      </w:pPr>
      <w:r>
        <w:rPr>
          <w:rFonts w:hint="eastAsia"/>
          <w:kern w:val="0"/>
          <w:sz w:val="24"/>
        </w:rPr>
        <w:t>甲方：</w:t>
      </w:r>
      <w:r>
        <w:rPr>
          <w:rFonts w:hint="eastAsia"/>
          <w:kern w:val="0"/>
          <w:sz w:val="24"/>
          <w:u w:val="single"/>
        </w:rPr>
        <w:t xml:space="preserve">                    </w:t>
      </w:r>
    </w:p>
    <w:p w14:paraId="41A79D7D">
      <w:pPr>
        <w:spacing w:after="93" w:line="348" w:lineRule="auto"/>
        <w:ind w:left="480"/>
        <w:rPr>
          <w:kern w:val="0"/>
          <w:sz w:val="24"/>
        </w:rPr>
      </w:pPr>
      <w:r>
        <w:rPr>
          <w:rFonts w:hint="eastAsia"/>
          <w:kern w:val="0"/>
          <w:sz w:val="24"/>
        </w:rPr>
        <w:t>乙方：gcp@zsgmc.sh.cn</w:t>
      </w:r>
    </w:p>
    <w:p w14:paraId="314E9A52">
      <w:pPr>
        <w:numPr>
          <w:ilvl w:val="0"/>
          <w:numId w:val="1"/>
        </w:numPr>
        <w:spacing w:after="93" w:line="360" w:lineRule="auto"/>
        <w:ind w:left="283" w:leftChars="0" w:hanging="283" w:firstLineChars="0"/>
        <w:outlineLvl w:val="0"/>
        <w:rPr>
          <w:rFonts w:ascii="宋体" w:hAnsi="宋体" w:cs="宋体"/>
          <w:b/>
          <w:kern w:val="0"/>
          <w:sz w:val="24"/>
          <w:szCs w:val="20"/>
        </w:rPr>
      </w:pPr>
      <w:bookmarkStart w:id="11" w:name="_Toc24816"/>
      <w:r>
        <w:rPr>
          <w:rFonts w:hint="eastAsia" w:ascii="宋体" w:hAnsi="宋体" w:cs="宋体"/>
          <w:b/>
          <w:kern w:val="0"/>
          <w:sz w:val="24"/>
          <w:szCs w:val="20"/>
        </w:rPr>
        <w:t>费用的支付</w:t>
      </w:r>
      <w:bookmarkEnd w:id="11"/>
    </w:p>
    <w:p w14:paraId="77096AC5">
      <w:pPr>
        <w:numPr>
          <w:ilvl w:val="0"/>
          <w:numId w:val="5"/>
        </w:numPr>
        <w:spacing w:after="93" w:line="360" w:lineRule="auto"/>
        <w:ind w:firstLine="480" w:firstLineChars="200"/>
        <w:rPr>
          <w:rFonts w:hint="eastAsia"/>
          <w:sz w:val="24"/>
          <w:szCs w:val="20"/>
          <w:lang w:val="en-US" w:eastAsia="zh-CN"/>
        </w:rPr>
      </w:pPr>
      <w:r>
        <w:rPr>
          <w:rFonts w:hint="eastAsia"/>
          <w:sz w:val="24"/>
          <w:szCs w:val="20"/>
        </w:rPr>
        <w:t>甲方向乙方提供临床试验所需的研究经费，</w:t>
      </w:r>
      <w:r>
        <w:rPr>
          <w:rFonts w:hint="eastAsia"/>
          <w:sz w:val="24"/>
          <w:szCs w:val="20"/>
          <w:lang w:val="en-US" w:eastAsia="zh-CN"/>
        </w:rPr>
        <w:t>共</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例，合计研究经费总额为人民币</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元</w:t>
      </w:r>
      <w:r>
        <w:rPr>
          <w:rFonts w:hint="eastAsia"/>
          <w:sz w:val="24"/>
          <w:szCs w:val="20"/>
          <w:lang w:eastAsia="zh-CN"/>
        </w:rPr>
        <w:t>。</w:t>
      </w:r>
      <w:r>
        <w:rPr>
          <w:rFonts w:hint="eastAsia"/>
          <w:sz w:val="24"/>
          <w:szCs w:val="20"/>
          <w:lang w:val="en-US" w:eastAsia="zh-CN"/>
        </w:rPr>
        <w:t>费用明细见附件。</w:t>
      </w:r>
    </w:p>
    <w:p w14:paraId="0D64CEE1">
      <w:pPr>
        <w:numPr>
          <w:ilvl w:val="0"/>
          <w:numId w:val="5"/>
        </w:numPr>
        <w:spacing w:after="93" w:line="360" w:lineRule="auto"/>
        <w:ind w:firstLine="480" w:firstLineChars="200"/>
        <w:rPr>
          <w:b w:val="0"/>
          <w:bCs/>
          <w:kern w:val="0"/>
          <w:sz w:val="24"/>
        </w:rPr>
      </w:pPr>
      <w:r>
        <w:rPr>
          <w:rFonts w:hint="eastAsia"/>
          <w:b w:val="0"/>
          <w:bCs/>
          <w:kern w:val="0"/>
          <w:sz w:val="24"/>
          <w:lang w:val="en-US" w:eastAsia="zh-CN"/>
        </w:rPr>
        <w:t>付款计划</w:t>
      </w:r>
    </w:p>
    <w:tbl>
      <w:tblPr>
        <w:tblStyle w:val="9"/>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521"/>
        <w:gridCol w:w="2475"/>
      </w:tblGrid>
      <w:tr w14:paraId="1D6C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2146B9E">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付款计划</w:t>
            </w:r>
          </w:p>
        </w:tc>
        <w:tc>
          <w:tcPr>
            <w:tcW w:w="2130" w:type="dxa"/>
            <w:vAlign w:val="center"/>
          </w:tcPr>
          <w:p w14:paraId="6CCD39F9">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付款节点</w:t>
            </w:r>
          </w:p>
        </w:tc>
        <w:tc>
          <w:tcPr>
            <w:tcW w:w="2521" w:type="dxa"/>
            <w:vAlign w:val="center"/>
          </w:tcPr>
          <w:p w14:paraId="667EDD8E">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付款比例</w:t>
            </w:r>
          </w:p>
        </w:tc>
        <w:tc>
          <w:tcPr>
            <w:tcW w:w="2475" w:type="dxa"/>
            <w:vAlign w:val="center"/>
          </w:tcPr>
          <w:p w14:paraId="77733C7A">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付款金额</w:t>
            </w:r>
          </w:p>
        </w:tc>
      </w:tr>
      <w:tr w14:paraId="4153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5B6EFDD">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首笔款</w:t>
            </w:r>
          </w:p>
        </w:tc>
        <w:tc>
          <w:tcPr>
            <w:tcW w:w="2130" w:type="dxa"/>
            <w:vAlign w:val="center"/>
          </w:tcPr>
          <w:p w14:paraId="74F08B10">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w:t>
            </w:r>
          </w:p>
        </w:tc>
        <w:tc>
          <w:tcPr>
            <w:tcW w:w="2521" w:type="dxa"/>
            <w:vAlign w:val="center"/>
          </w:tcPr>
          <w:p w14:paraId="25B8AD00">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2475" w:type="dxa"/>
            <w:vAlign w:val="center"/>
          </w:tcPr>
          <w:p w14:paraId="2B67951F">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p>
        </w:tc>
      </w:tr>
      <w:tr w14:paraId="4F3B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30" w:type="dxa"/>
            <w:vAlign w:val="center"/>
          </w:tcPr>
          <w:p w14:paraId="4A3EFF69">
            <w:pPr>
              <w:pStyle w:val="20"/>
              <w:numPr>
                <w:ilvl w:val="0"/>
                <w:numId w:val="0"/>
              </w:numPr>
              <w:spacing w:before="156" w:beforeLines="50" w:line="320" w:lineRule="atLeas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第二笔款</w:t>
            </w:r>
          </w:p>
        </w:tc>
        <w:tc>
          <w:tcPr>
            <w:tcW w:w="2130" w:type="dxa"/>
            <w:vAlign w:val="center"/>
          </w:tcPr>
          <w:p w14:paraId="4D71E66A">
            <w:pPr>
              <w:pStyle w:val="20"/>
              <w:numPr>
                <w:ilvl w:val="0"/>
                <w:numId w:val="0"/>
              </w:numPr>
              <w:spacing w:before="156" w:beforeLines="50" w:line="32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首例入组</w:t>
            </w:r>
          </w:p>
        </w:tc>
        <w:tc>
          <w:tcPr>
            <w:tcW w:w="2521" w:type="dxa"/>
            <w:vAlign w:val="center"/>
          </w:tcPr>
          <w:p w14:paraId="62941BEB">
            <w:pPr>
              <w:pStyle w:val="20"/>
              <w:numPr>
                <w:ilvl w:val="0"/>
                <w:numId w:val="0"/>
              </w:numPr>
              <w:spacing w:before="156" w:beforeLines="50" w:line="32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475" w:type="dxa"/>
            <w:vAlign w:val="center"/>
          </w:tcPr>
          <w:p w14:paraId="67C1E201">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p>
        </w:tc>
      </w:tr>
      <w:tr w14:paraId="5ACB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09923A7">
            <w:pPr>
              <w:pStyle w:val="20"/>
              <w:numPr>
                <w:ilvl w:val="0"/>
                <w:numId w:val="0"/>
              </w:numPr>
              <w:spacing w:before="156" w:beforeLines="50" w:line="320" w:lineRule="atLeas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第三笔款</w:t>
            </w:r>
          </w:p>
        </w:tc>
        <w:tc>
          <w:tcPr>
            <w:tcW w:w="2130" w:type="dxa"/>
            <w:vAlign w:val="center"/>
          </w:tcPr>
          <w:p w14:paraId="0546B23A">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入组病例数达到一半</w:t>
            </w:r>
            <w:r>
              <w:rPr>
                <w:rFonts w:hint="eastAsia" w:ascii="宋体" w:hAnsi="宋体" w:eastAsia="宋体" w:cs="宋体"/>
                <w:color w:val="auto"/>
                <w:sz w:val="24"/>
                <w:szCs w:val="24"/>
                <w:highlight w:val="none"/>
                <w:lang w:val="en-US" w:eastAsia="zh-CN"/>
              </w:rPr>
              <w:t>时</w:t>
            </w:r>
          </w:p>
        </w:tc>
        <w:tc>
          <w:tcPr>
            <w:tcW w:w="2521" w:type="dxa"/>
            <w:vAlign w:val="center"/>
          </w:tcPr>
          <w:p w14:paraId="01B684A6">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2475" w:type="dxa"/>
            <w:vAlign w:val="center"/>
          </w:tcPr>
          <w:p w14:paraId="580AB642">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p>
        </w:tc>
      </w:tr>
      <w:tr w14:paraId="3224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23D98D5">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第</w:t>
            </w:r>
            <w:r>
              <w:rPr>
                <w:rFonts w:hint="eastAsia" w:ascii="宋体" w:hAnsi="宋体" w:cs="宋体"/>
                <w:color w:val="auto"/>
                <w:sz w:val="24"/>
                <w:szCs w:val="24"/>
                <w:highlight w:val="none"/>
                <w:vertAlign w:val="baseline"/>
                <w:lang w:val="en-US" w:eastAsia="zh-CN"/>
              </w:rPr>
              <w:t>四</w:t>
            </w:r>
            <w:r>
              <w:rPr>
                <w:rFonts w:hint="eastAsia" w:ascii="宋体" w:hAnsi="宋体" w:eastAsia="宋体" w:cs="宋体"/>
                <w:color w:val="auto"/>
                <w:sz w:val="24"/>
                <w:szCs w:val="24"/>
                <w:highlight w:val="none"/>
                <w:vertAlign w:val="baseline"/>
                <w:lang w:val="en-US" w:eastAsia="zh-CN"/>
              </w:rPr>
              <w:t>笔款</w:t>
            </w:r>
          </w:p>
        </w:tc>
        <w:tc>
          <w:tcPr>
            <w:tcW w:w="2130" w:type="dxa"/>
            <w:vAlign w:val="center"/>
          </w:tcPr>
          <w:p w14:paraId="4458404C">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入组病例数达到预计病例数</w:t>
            </w:r>
          </w:p>
        </w:tc>
        <w:tc>
          <w:tcPr>
            <w:tcW w:w="2521" w:type="dxa"/>
            <w:vAlign w:val="center"/>
          </w:tcPr>
          <w:p w14:paraId="25A8CABA">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30%</w:t>
            </w:r>
          </w:p>
        </w:tc>
        <w:tc>
          <w:tcPr>
            <w:tcW w:w="2475" w:type="dxa"/>
            <w:vAlign w:val="center"/>
          </w:tcPr>
          <w:p w14:paraId="09C6F2FC">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p>
        </w:tc>
      </w:tr>
      <w:tr w14:paraId="5A3F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B34FE5D">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尾款</w:t>
            </w:r>
          </w:p>
        </w:tc>
        <w:tc>
          <w:tcPr>
            <w:tcW w:w="2130" w:type="dxa"/>
            <w:vAlign w:val="center"/>
          </w:tcPr>
          <w:p w14:paraId="5191F665">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项目结题</w:t>
            </w:r>
          </w:p>
        </w:tc>
        <w:tc>
          <w:tcPr>
            <w:tcW w:w="2521" w:type="dxa"/>
            <w:vAlign w:val="center"/>
          </w:tcPr>
          <w:p w14:paraId="5985B370">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按实际发生金额</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rPr>
              <w:t>尾款。</w:t>
            </w:r>
          </w:p>
        </w:tc>
        <w:tc>
          <w:tcPr>
            <w:tcW w:w="2475" w:type="dxa"/>
            <w:vAlign w:val="center"/>
          </w:tcPr>
          <w:p w14:paraId="3931D921">
            <w:pPr>
              <w:pStyle w:val="20"/>
              <w:numPr>
                <w:ilvl w:val="0"/>
                <w:numId w:val="0"/>
              </w:numPr>
              <w:spacing w:before="156" w:beforeLines="50" w:line="320" w:lineRule="atLeast"/>
              <w:jc w:val="center"/>
              <w:rPr>
                <w:rFonts w:hint="default" w:ascii="宋体" w:hAnsi="宋体" w:eastAsia="宋体" w:cs="宋体"/>
                <w:color w:val="auto"/>
                <w:sz w:val="24"/>
                <w:szCs w:val="24"/>
                <w:highlight w:val="none"/>
                <w:vertAlign w:val="baseline"/>
                <w:lang w:val="en-US" w:eastAsia="zh-CN"/>
              </w:rPr>
            </w:pPr>
            <w:r>
              <w:rPr>
                <w:rFonts w:hint="default" w:ascii="宋体" w:hAnsi="宋体" w:cs="宋体"/>
                <w:color w:val="auto"/>
                <w:sz w:val="24"/>
                <w:highlight w:val="none"/>
                <w:lang w:val="en-US" w:eastAsia="zh-CN"/>
              </w:rPr>
              <w:t>根据最终签署的</w:t>
            </w:r>
            <w:r>
              <w:rPr>
                <w:rFonts w:hint="default" w:ascii="宋体" w:hAnsi="宋体" w:eastAsia="宋体" w:cs="宋体"/>
                <w:color w:val="auto"/>
                <w:kern w:val="2"/>
                <w:sz w:val="24"/>
                <w:highlight w:val="none"/>
              </w:rPr>
              <w:t>尾款结算说明</w:t>
            </w:r>
            <w:r>
              <w:rPr>
                <w:rFonts w:hint="eastAsia" w:ascii="宋体" w:hAnsi="宋体" w:cs="宋体"/>
                <w:color w:val="auto"/>
                <w:kern w:val="2"/>
                <w:sz w:val="24"/>
                <w:highlight w:val="none"/>
                <w:lang w:val="en-US" w:eastAsia="zh-CN"/>
              </w:rPr>
              <w:t>进行</w:t>
            </w:r>
            <w:r>
              <w:rPr>
                <w:rFonts w:hint="default" w:ascii="宋体" w:hAnsi="宋体" w:cs="宋体"/>
                <w:color w:val="auto"/>
                <w:sz w:val="24"/>
                <w:szCs w:val="24"/>
                <w:highlight w:val="none"/>
                <w:lang w:val="en-US" w:eastAsia="zh-CN"/>
              </w:rPr>
              <w:t>多退少补</w:t>
            </w:r>
          </w:p>
        </w:tc>
      </w:tr>
    </w:tbl>
    <w:p w14:paraId="7EB840EF">
      <w:pPr>
        <w:pStyle w:val="2"/>
      </w:pPr>
    </w:p>
    <w:p w14:paraId="0E6016A6">
      <w:pPr>
        <w:numPr>
          <w:ilvl w:val="0"/>
          <w:numId w:val="5"/>
        </w:numPr>
        <w:spacing w:after="93" w:line="360" w:lineRule="auto"/>
        <w:ind w:firstLine="480" w:firstLineChars="200"/>
        <w:rPr>
          <w:b/>
          <w:kern w:val="0"/>
          <w:sz w:val="24"/>
        </w:rPr>
      </w:pPr>
      <w:r>
        <w:rPr>
          <w:rFonts w:hint="eastAsia"/>
          <w:color w:val="000000"/>
          <w:sz w:val="24"/>
          <w:szCs w:val="20"/>
        </w:rPr>
        <w:t>研究经费由甲方以银行转帐形式支付给乙方研究</w:t>
      </w:r>
      <w:r>
        <w:rPr>
          <w:color w:val="000000"/>
          <w:sz w:val="24"/>
          <w:szCs w:val="20"/>
        </w:rPr>
        <w:t>经费</w:t>
      </w:r>
      <w:r>
        <w:rPr>
          <w:rFonts w:hint="eastAsia"/>
          <w:color w:val="000000"/>
          <w:sz w:val="24"/>
          <w:szCs w:val="20"/>
        </w:rPr>
        <w:t>，</w:t>
      </w:r>
      <w:r>
        <w:rPr>
          <w:sz w:val="24"/>
          <w:szCs w:val="20"/>
        </w:rPr>
        <w:t>并在付款的摘要附言栏注明</w:t>
      </w:r>
      <w:r>
        <w:rPr>
          <w:rFonts w:hint="eastAsia"/>
          <w:sz w:val="24"/>
          <w:szCs w:val="20"/>
          <w:lang w:eastAsia="zh-CN"/>
        </w:rPr>
        <w:t>“</w:t>
      </w:r>
      <w:r>
        <w:rPr>
          <w:sz w:val="24"/>
          <w:szCs w:val="20"/>
        </w:rPr>
        <w:t>机构编号</w:t>
      </w:r>
      <w:r>
        <w:rPr>
          <w:rFonts w:hint="eastAsia"/>
          <w:sz w:val="24"/>
          <w:szCs w:val="20"/>
          <w:lang w:val="en-US" w:eastAsia="zh-CN"/>
        </w:rPr>
        <w:t>+款项说明（如合同首笔款、合同第二笔款等）”</w:t>
      </w:r>
      <w:r>
        <w:rPr>
          <w:rFonts w:hint="eastAsia"/>
          <w:sz w:val="24"/>
          <w:szCs w:val="20"/>
        </w:rPr>
        <w:t>；</w:t>
      </w:r>
      <w:r>
        <w:rPr>
          <w:sz w:val="24"/>
          <w:szCs w:val="20"/>
        </w:rPr>
        <w:t>乙方</w:t>
      </w:r>
      <w:r>
        <w:rPr>
          <w:rFonts w:hint="eastAsia"/>
          <w:kern w:val="0"/>
          <w:sz w:val="24"/>
          <w:lang w:val="en-US" w:eastAsia="zh-CN"/>
        </w:rPr>
        <w:t>开具</w:t>
      </w:r>
      <w:r>
        <w:rPr>
          <w:rFonts w:hint="eastAsia"/>
          <w:kern w:val="0"/>
          <w:sz w:val="24"/>
        </w:rPr>
        <w:t>相应</w:t>
      </w:r>
      <w:r>
        <w:rPr>
          <w:kern w:val="0"/>
          <w:sz w:val="24"/>
        </w:rPr>
        <w:t>金额的</w:t>
      </w:r>
      <w:r>
        <w:rPr>
          <w:rFonts w:hint="eastAsia"/>
          <w:kern w:val="0"/>
          <w:sz w:val="24"/>
        </w:rPr>
        <w:t>增值税普通</w:t>
      </w:r>
      <w:r>
        <w:rPr>
          <w:kern w:val="0"/>
          <w:sz w:val="24"/>
        </w:rPr>
        <w:t>发票</w:t>
      </w:r>
      <w:r>
        <w:rPr>
          <w:rFonts w:hint="eastAsia"/>
          <w:color w:val="000000"/>
          <w:sz w:val="24"/>
          <w:szCs w:val="20"/>
        </w:rPr>
        <w:t>。</w:t>
      </w:r>
    </w:p>
    <w:p w14:paraId="3DFEEE9D">
      <w:pPr>
        <w:spacing w:line="360" w:lineRule="auto"/>
        <w:ind w:firstLine="540" w:firstLineChars="225"/>
        <w:rPr>
          <w:rFonts w:hint="default" w:eastAsia="宋体"/>
          <w:sz w:val="24"/>
          <w:lang w:val="en-US" w:eastAsia="zh-CN"/>
        </w:rPr>
      </w:pPr>
      <w:bookmarkStart w:id="15" w:name="_GoBack"/>
      <w:r>
        <w:rPr>
          <w:rFonts w:hint="eastAsia"/>
          <w:sz w:val="24"/>
        </w:rPr>
        <w:t>收款人：</w:t>
      </w:r>
      <w:r>
        <w:rPr>
          <w:rFonts w:hint="eastAsia"/>
          <w:sz w:val="24"/>
          <w:lang w:val="en-US" w:eastAsia="zh-CN"/>
        </w:rPr>
        <w:t>上海市老年医学中心</w:t>
      </w:r>
    </w:p>
    <w:p w14:paraId="41381444">
      <w:pPr>
        <w:spacing w:line="360" w:lineRule="auto"/>
        <w:ind w:firstLine="540" w:firstLineChars="225"/>
        <w:rPr>
          <w:rFonts w:hint="default" w:eastAsia="宋体"/>
          <w:sz w:val="24"/>
          <w:lang w:val="en-US" w:eastAsia="zh-CN"/>
        </w:rPr>
      </w:pPr>
      <w:r>
        <w:rPr>
          <w:rFonts w:hint="eastAsia"/>
          <w:sz w:val="24"/>
        </w:rPr>
        <w:t>开户行：</w:t>
      </w:r>
      <w:r>
        <w:rPr>
          <w:rFonts w:hint="eastAsia"/>
          <w:sz w:val="24"/>
          <w:lang w:val="en-US" w:eastAsia="zh-CN"/>
        </w:rPr>
        <w:t>工商银行上海市闵行支行</w:t>
      </w:r>
    </w:p>
    <w:p w14:paraId="77194E3E">
      <w:pPr>
        <w:spacing w:line="360" w:lineRule="auto"/>
        <w:ind w:firstLine="540" w:firstLineChars="225"/>
        <w:rPr>
          <w:rFonts w:hint="default" w:eastAsia="宋体"/>
          <w:sz w:val="24"/>
          <w:lang w:val="en-US" w:eastAsia="zh-CN"/>
        </w:rPr>
      </w:pPr>
      <w:r>
        <w:rPr>
          <w:rFonts w:hint="eastAsia"/>
          <w:sz w:val="24"/>
        </w:rPr>
        <w:t>账</w:t>
      </w:r>
      <w:r>
        <w:rPr>
          <w:rFonts w:hint="eastAsia"/>
          <w:sz w:val="24"/>
          <w:lang w:val="en-US" w:eastAsia="zh-CN"/>
        </w:rPr>
        <w:t xml:space="preserve">    </w:t>
      </w:r>
      <w:r>
        <w:rPr>
          <w:rFonts w:hint="eastAsia"/>
          <w:sz w:val="24"/>
        </w:rPr>
        <w:t>号：</w:t>
      </w:r>
      <w:r>
        <w:rPr>
          <w:rFonts w:hint="eastAsia"/>
          <w:sz w:val="24"/>
          <w:lang w:val="en-US" w:eastAsia="zh-CN"/>
        </w:rPr>
        <w:t>1001100429006008855</w:t>
      </w:r>
    </w:p>
    <w:p w14:paraId="49E9CDB6">
      <w:pPr>
        <w:spacing w:line="360" w:lineRule="auto"/>
        <w:rPr>
          <w:rFonts w:hint="eastAsia"/>
          <w:sz w:val="24"/>
          <w:lang w:val="en-US" w:eastAsia="zh-CN"/>
        </w:rPr>
      </w:pPr>
      <w:r>
        <w:rPr>
          <w:rFonts w:hint="eastAsia"/>
          <w:sz w:val="24"/>
        </w:rPr>
        <w:t xml:space="preserve">     </w:t>
      </w:r>
      <w:r>
        <w:rPr>
          <w:rFonts w:hint="eastAsia"/>
          <w:sz w:val="24"/>
          <w:lang w:val="en-US" w:eastAsia="zh-CN"/>
        </w:rPr>
        <w:t xml:space="preserve">    </w:t>
      </w:r>
      <w:r>
        <w:rPr>
          <w:rFonts w:hint="eastAsia" w:ascii="宋体" w:hAnsi="宋体"/>
          <w:kern w:val="0"/>
          <w:sz w:val="24"/>
        </w:rPr>
        <w:t>统一</w:t>
      </w:r>
      <w:r>
        <w:rPr>
          <w:rFonts w:ascii="宋体" w:hAnsi="宋体"/>
          <w:kern w:val="0"/>
          <w:sz w:val="24"/>
        </w:rPr>
        <w:t>社会信用代码：</w:t>
      </w:r>
      <w:r>
        <w:rPr>
          <w:rFonts w:hint="eastAsia"/>
          <w:sz w:val="24"/>
          <w:lang w:val="en-US" w:eastAsia="zh-CN"/>
        </w:rPr>
        <w:t>12310000MB2F047037</w:t>
      </w:r>
    </w:p>
    <w:bookmarkEnd w:id="15"/>
    <w:p w14:paraId="6E94AFDF">
      <w:pPr>
        <w:numPr>
          <w:ilvl w:val="0"/>
          <w:numId w:val="5"/>
        </w:numPr>
        <w:spacing w:after="93" w:line="360" w:lineRule="auto"/>
        <w:ind w:firstLine="480"/>
        <w:rPr>
          <w:rFonts w:hint="eastAsia" w:ascii="Times New Roman" w:hAnsi="Times New Roman" w:cs="Times New Roman"/>
          <w:b w:val="0"/>
          <w:color w:val="000000"/>
          <w:kern w:val="2"/>
          <w:sz w:val="24"/>
          <w:szCs w:val="20"/>
          <w:lang w:val="en-US" w:eastAsia="zh-CN"/>
        </w:rPr>
      </w:pPr>
      <w:r>
        <w:rPr>
          <w:rFonts w:hint="eastAsia" w:ascii="Times New Roman" w:hAnsi="Times New Roman" w:cs="Times New Roman"/>
          <w:b w:val="0"/>
          <w:color w:val="000000"/>
          <w:kern w:val="2"/>
          <w:sz w:val="24"/>
          <w:szCs w:val="20"/>
          <w:lang w:val="en-US" w:eastAsia="zh-CN"/>
        </w:rPr>
        <w:t>若按照付款节点打款，费用不够时，则乙方有权要求甲方提前打款。</w:t>
      </w:r>
    </w:p>
    <w:p w14:paraId="4F6CCA9F">
      <w:pPr>
        <w:pStyle w:val="2"/>
        <w:rPr>
          <w:rFonts w:hint="eastAsia" w:ascii="宋体" w:hAnsi="宋体" w:cs="宋体"/>
          <w:b/>
          <w:kern w:val="0"/>
          <w:sz w:val="24"/>
          <w:szCs w:val="20"/>
          <w:lang w:val="en-US" w:eastAsia="zh-CN"/>
        </w:rPr>
      </w:pPr>
    </w:p>
    <w:p w14:paraId="2E493B66">
      <w:pPr>
        <w:numPr>
          <w:ilvl w:val="0"/>
          <w:numId w:val="1"/>
        </w:numPr>
        <w:spacing w:after="93" w:line="360" w:lineRule="auto"/>
        <w:ind w:left="283" w:hanging="283"/>
        <w:outlineLvl w:val="0"/>
        <w:rPr>
          <w:rFonts w:hint="eastAsia" w:ascii="宋体" w:hAnsi="宋体" w:cs="宋体"/>
          <w:b/>
          <w:kern w:val="0"/>
          <w:sz w:val="24"/>
          <w:szCs w:val="20"/>
        </w:rPr>
      </w:pPr>
      <w:bookmarkStart w:id="12" w:name="_Toc7860"/>
      <w:r>
        <w:rPr>
          <w:rFonts w:hint="eastAsia" w:ascii="宋体" w:hAnsi="宋体" w:cs="宋体"/>
          <w:b/>
          <w:kern w:val="0"/>
          <w:sz w:val="24"/>
          <w:szCs w:val="20"/>
          <w:lang w:val="en-US" w:eastAsia="zh-CN"/>
        </w:rPr>
        <w:t xml:space="preserve">协议修改 </w:t>
      </w:r>
    </w:p>
    <w:p w14:paraId="46E65AB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协议签订后，涉及入组受试者例数改变，可以由主要研究者向伦理委员会提交病例数变化的情况说明，如入组例数超出原计划入组例数，需额外签署补充协议进行结算费用。其他方面的变更、增补或修改，均须双方签署的书面文件。</w:t>
      </w:r>
    </w:p>
    <w:p w14:paraId="0AAB62E2">
      <w:pPr>
        <w:numPr>
          <w:ilvl w:val="0"/>
          <w:numId w:val="1"/>
        </w:numPr>
        <w:spacing w:after="93" w:line="360" w:lineRule="auto"/>
        <w:ind w:left="283" w:hanging="283"/>
        <w:outlineLvl w:val="0"/>
        <w:rPr>
          <w:rFonts w:hint="eastAsia" w:ascii="宋体" w:hAnsi="宋体" w:cs="宋体"/>
          <w:b/>
          <w:kern w:val="0"/>
          <w:sz w:val="24"/>
          <w:szCs w:val="20"/>
        </w:rPr>
      </w:pPr>
      <w:r>
        <w:rPr>
          <w:rFonts w:hint="eastAsia" w:ascii="宋体" w:hAnsi="宋体" w:cs="宋体"/>
          <w:b/>
          <w:kern w:val="0"/>
          <w:sz w:val="24"/>
          <w:szCs w:val="20"/>
        </w:rPr>
        <w:t>其他</w:t>
      </w:r>
      <w:bookmarkEnd w:id="12"/>
    </w:p>
    <w:p w14:paraId="2BBAEA34">
      <w:pPr>
        <w:spacing w:after="93" w:line="360" w:lineRule="auto"/>
        <w:ind w:firstLine="480" w:firstLineChars="200"/>
        <w:rPr>
          <w:rFonts w:ascii="宋体" w:hAnsi="宋体" w:cs="宋体"/>
          <w:color w:val="000000"/>
          <w:kern w:val="0"/>
          <w:sz w:val="24"/>
          <w:szCs w:val="20"/>
        </w:rPr>
      </w:pPr>
      <w:r>
        <w:rPr>
          <w:rFonts w:hint="eastAsia"/>
          <w:kern w:val="0"/>
          <w:sz w:val="24"/>
        </w:rPr>
        <w:t>本</w:t>
      </w:r>
      <w:r>
        <w:rPr>
          <w:rFonts w:hint="eastAsia" w:ascii="宋体" w:hAnsi="宋体" w:cs="宋体"/>
          <w:color w:val="000000"/>
          <w:kern w:val="0"/>
          <w:sz w:val="24"/>
          <w:szCs w:val="20"/>
        </w:rPr>
        <w:t>协议</w:t>
      </w:r>
      <w:r>
        <w:rPr>
          <w:rFonts w:ascii="宋体" w:hAnsi="宋体" w:cs="宋体"/>
          <w:color w:val="000000"/>
          <w:kern w:val="0"/>
          <w:sz w:val="24"/>
          <w:szCs w:val="20"/>
        </w:rPr>
        <w:t>各方</w:t>
      </w:r>
      <w:r>
        <w:rPr>
          <w:rFonts w:hint="eastAsia" w:ascii="宋体" w:hAnsi="宋体" w:cs="宋体"/>
          <w:color w:val="000000"/>
          <w:kern w:val="0"/>
          <w:sz w:val="24"/>
          <w:szCs w:val="20"/>
        </w:rPr>
        <w:t>均签名、盖章时</w:t>
      </w:r>
      <w:r>
        <w:rPr>
          <w:rFonts w:ascii="宋体" w:hAnsi="宋体" w:cs="宋体"/>
          <w:color w:val="000000"/>
          <w:kern w:val="0"/>
          <w:sz w:val="24"/>
          <w:szCs w:val="20"/>
        </w:rPr>
        <w:t>协议成立。</w:t>
      </w:r>
      <w:r>
        <w:rPr>
          <w:rFonts w:hint="eastAsia" w:ascii="宋体" w:hAnsi="宋体" w:cs="宋体"/>
          <w:color w:val="000000"/>
          <w:kern w:val="0"/>
          <w:sz w:val="24"/>
          <w:szCs w:val="20"/>
        </w:rPr>
        <w:t>协议生效时间以最后一方签名、盖章时间为准</w:t>
      </w:r>
      <w:r>
        <w:rPr>
          <w:rFonts w:ascii="宋体" w:hAnsi="宋体" w:cs="宋体"/>
          <w:color w:val="000000"/>
          <w:kern w:val="0"/>
          <w:sz w:val="24"/>
          <w:szCs w:val="20"/>
        </w:rPr>
        <w:t>。</w:t>
      </w:r>
    </w:p>
    <w:p w14:paraId="63E7D79A">
      <w:pPr>
        <w:spacing w:after="93" w:line="360" w:lineRule="auto"/>
        <w:ind w:firstLine="480" w:firstLineChars="200"/>
        <w:rPr>
          <w:kern w:val="0"/>
          <w:sz w:val="24"/>
        </w:rPr>
      </w:pPr>
      <w:r>
        <w:rPr>
          <w:rFonts w:hint="eastAsia"/>
          <w:kern w:val="0"/>
          <w:sz w:val="24"/>
        </w:rPr>
        <w:t>本协议一式</w:t>
      </w:r>
      <w:r>
        <w:rPr>
          <w:kern w:val="0"/>
          <w:sz w:val="24"/>
          <w:u w:val="single"/>
        </w:rPr>
        <w:t xml:space="preserve"> </w:t>
      </w:r>
      <w:r>
        <w:rPr>
          <w:rFonts w:hint="eastAsia"/>
          <w:kern w:val="0"/>
          <w:sz w:val="24"/>
          <w:u w:val="single"/>
          <w:lang w:val="en-US" w:eastAsia="zh-CN"/>
        </w:rPr>
        <w:t xml:space="preserve">   </w:t>
      </w:r>
      <w:r>
        <w:rPr>
          <w:kern w:val="0"/>
          <w:sz w:val="24"/>
          <w:u w:val="single"/>
        </w:rPr>
        <w:t xml:space="preserve"> </w:t>
      </w:r>
      <w:r>
        <w:rPr>
          <w:rFonts w:hint="eastAsia"/>
          <w:kern w:val="0"/>
          <w:sz w:val="24"/>
        </w:rPr>
        <w:t>份，甲方</w:t>
      </w:r>
      <w:r>
        <w:rPr>
          <w:kern w:val="0"/>
          <w:sz w:val="24"/>
          <w:u w:val="single"/>
        </w:rPr>
        <w:t xml:space="preserve"> </w:t>
      </w:r>
      <w:r>
        <w:rPr>
          <w:rFonts w:hint="eastAsia"/>
          <w:kern w:val="0"/>
          <w:sz w:val="24"/>
          <w:u w:val="single"/>
          <w:lang w:val="en-US" w:eastAsia="zh-CN"/>
        </w:rPr>
        <w:t xml:space="preserve">  </w:t>
      </w:r>
      <w:r>
        <w:rPr>
          <w:kern w:val="0"/>
          <w:sz w:val="24"/>
          <w:u w:val="single"/>
        </w:rPr>
        <w:t xml:space="preserve"> </w:t>
      </w:r>
      <w:r>
        <w:rPr>
          <w:rFonts w:hint="eastAsia"/>
          <w:kern w:val="0"/>
          <w:sz w:val="24"/>
        </w:rPr>
        <w:t>份，乙方</w:t>
      </w:r>
      <w:r>
        <w:rPr>
          <w:rFonts w:hint="eastAsia"/>
          <w:kern w:val="0"/>
          <w:sz w:val="24"/>
          <w:lang w:val="en-US" w:eastAsia="zh-CN"/>
        </w:rPr>
        <w:t>贰</w:t>
      </w:r>
      <w:r>
        <w:rPr>
          <w:rFonts w:hint="eastAsia"/>
          <w:kern w:val="0"/>
          <w:sz w:val="24"/>
        </w:rPr>
        <w:t>份，</w:t>
      </w:r>
      <w:r>
        <w:rPr>
          <w:kern w:val="0"/>
          <w:sz w:val="24"/>
        </w:rPr>
        <w:t>每份具有同等法律效力</w:t>
      </w:r>
      <w:r>
        <w:rPr>
          <w:rFonts w:hint="eastAsia"/>
          <w:kern w:val="0"/>
          <w:sz w:val="24"/>
        </w:rPr>
        <w:t>。如果同时提供英文</w:t>
      </w:r>
      <w:r>
        <w:rPr>
          <w:kern w:val="0"/>
          <w:sz w:val="24"/>
        </w:rPr>
        <w:t>协议，以</w:t>
      </w:r>
      <w:r>
        <w:rPr>
          <w:rFonts w:hint="eastAsia"/>
          <w:kern w:val="0"/>
          <w:sz w:val="24"/>
        </w:rPr>
        <w:t>中</w:t>
      </w:r>
      <w:r>
        <w:rPr>
          <w:kern w:val="0"/>
          <w:sz w:val="24"/>
        </w:rPr>
        <w:t>文</w:t>
      </w:r>
      <w:r>
        <w:rPr>
          <w:rFonts w:hint="eastAsia"/>
          <w:kern w:val="0"/>
          <w:sz w:val="24"/>
        </w:rPr>
        <w:t>内容</w:t>
      </w:r>
      <w:r>
        <w:rPr>
          <w:kern w:val="0"/>
          <w:sz w:val="24"/>
        </w:rPr>
        <w:t>为准。</w:t>
      </w:r>
    </w:p>
    <w:p w14:paraId="66BEE7F3">
      <w:pPr>
        <w:spacing w:after="93" w:line="360" w:lineRule="auto"/>
        <w:ind w:firstLine="480" w:firstLineChars="200"/>
        <w:rPr>
          <w:b/>
          <w:bCs/>
          <w:kern w:val="0"/>
          <w:sz w:val="24"/>
        </w:rPr>
      </w:pPr>
      <w:r>
        <w:rPr>
          <w:kern w:val="0"/>
          <w:sz w:val="24"/>
        </w:rPr>
        <w:t>本协议的终止或到期不影响第</w:t>
      </w:r>
      <w:r>
        <w:rPr>
          <w:rFonts w:hint="eastAsia"/>
          <w:kern w:val="0"/>
          <w:sz w:val="24"/>
        </w:rPr>
        <w:t>七</w:t>
      </w:r>
      <w:r>
        <w:rPr>
          <w:kern w:val="0"/>
          <w:sz w:val="24"/>
        </w:rPr>
        <w:t>条（保密责任），第</w:t>
      </w:r>
      <w:r>
        <w:rPr>
          <w:rFonts w:hint="eastAsia"/>
          <w:kern w:val="0"/>
          <w:sz w:val="24"/>
        </w:rPr>
        <w:t>八</w:t>
      </w:r>
      <w:r>
        <w:rPr>
          <w:kern w:val="0"/>
          <w:sz w:val="24"/>
        </w:rPr>
        <w:t>条（</w:t>
      </w:r>
      <w:r>
        <w:rPr>
          <w:rFonts w:hint="eastAsia"/>
          <w:kern w:val="0"/>
          <w:sz w:val="24"/>
        </w:rPr>
        <w:t>知识产权以及发表</w:t>
      </w:r>
      <w:r>
        <w:rPr>
          <w:kern w:val="0"/>
          <w:sz w:val="24"/>
        </w:rPr>
        <w:t>）</w:t>
      </w:r>
      <w:r>
        <w:rPr>
          <w:rFonts w:hint="eastAsia"/>
          <w:kern w:val="0"/>
          <w:sz w:val="24"/>
          <w:lang w:val="en-US" w:eastAsia="zh-CN"/>
        </w:rPr>
        <w:t>以及</w:t>
      </w:r>
      <w:r>
        <w:rPr>
          <w:kern w:val="0"/>
          <w:sz w:val="24"/>
        </w:rPr>
        <w:t>第</w:t>
      </w:r>
      <w:r>
        <w:rPr>
          <w:rFonts w:hint="eastAsia"/>
          <w:kern w:val="0"/>
          <w:sz w:val="24"/>
        </w:rPr>
        <w:t>十</w:t>
      </w:r>
      <w:r>
        <w:rPr>
          <w:kern w:val="0"/>
          <w:sz w:val="24"/>
        </w:rPr>
        <w:t>条（</w:t>
      </w:r>
      <w:r>
        <w:rPr>
          <w:rFonts w:hint="eastAsia"/>
          <w:kern w:val="0"/>
          <w:sz w:val="24"/>
        </w:rPr>
        <w:t>赔偿和补偿</w:t>
      </w:r>
      <w:r>
        <w:rPr>
          <w:kern w:val="0"/>
          <w:sz w:val="24"/>
        </w:rPr>
        <w:t>）以及根据其自身性质仍应继续有效的条款的效力。</w:t>
      </w:r>
    </w:p>
    <w:p w14:paraId="11D0D135">
      <w:pPr>
        <w:jc w:val="center"/>
        <w:rPr>
          <w:rFonts w:hint="eastAsia"/>
          <w:sz w:val="24"/>
        </w:rPr>
      </w:pPr>
      <w:r>
        <w:rPr>
          <w:rFonts w:hint="eastAsia"/>
          <w:sz w:val="24"/>
        </w:rPr>
        <w:t>【以下无正文，后附签署页及合同附件】</w:t>
      </w:r>
    </w:p>
    <w:p w14:paraId="097DA228">
      <w:pPr>
        <w:rPr>
          <w:rFonts w:hint="eastAsia"/>
          <w:sz w:val="24"/>
        </w:rPr>
        <w:sectPr>
          <w:headerReference r:id="rId3" w:type="default"/>
          <w:footerReference r:id="rId4" w:type="default"/>
          <w:pgSz w:w="11906" w:h="16838"/>
          <w:pgMar w:top="850" w:right="1440" w:bottom="850" w:left="1440" w:header="1134" w:footer="1134" w:gutter="0"/>
          <w:pgNumType w:fmt="decimal"/>
          <w:cols w:space="708" w:num="1"/>
          <w:docGrid w:type="lines" w:linePitch="360" w:charSpace="0"/>
        </w:sectPr>
      </w:pPr>
    </w:p>
    <w:p w14:paraId="638A1443">
      <w:pPr>
        <w:pStyle w:val="2"/>
        <w:keepNext w:val="0"/>
        <w:keepLines w:val="0"/>
        <w:pageBreakBefore w:val="0"/>
        <w:widowControl w:val="0"/>
        <w:kinsoku/>
        <w:wordWrap/>
        <w:overflowPunct/>
        <w:topLinePunct w:val="0"/>
        <w:autoSpaceDE/>
        <w:autoSpaceDN/>
        <w:bidi w:val="0"/>
        <w:adjustRightInd/>
        <w:snapToGrid/>
        <w:spacing w:before="361" w:beforeLines="100" w:line="360" w:lineRule="auto"/>
        <w:ind w:firstLine="0" w:firstLineChars="0"/>
        <w:jc w:val="center"/>
        <w:textAlignment w:val="auto"/>
        <w:rPr>
          <w:rFonts w:hint="eastAsia"/>
        </w:rPr>
      </w:pPr>
      <w:r>
        <w:rPr>
          <w:rFonts w:hint="eastAsia"/>
        </w:rPr>
        <w:t>【本页为《“                         ”新药临床试验项目协议》的签署页】</w:t>
      </w:r>
    </w:p>
    <w:p w14:paraId="1A98AF9D">
      <w:pPr>
        <w:rPr>
          <w:rFonts w:hint="eastAsia"/>
          <w:sz w:val="24"/>
        </w:rPr>
      </w:pPr>
    </w:p>
    <w:p w14:paraId="2211B76D">
      <w:pPr>
        <w:spacing w:line="360" w:lineRule="auto"/>
        <w:ind w:firstLine="241" w:firstLineChars="100"/>
        <w:rPr>
          <w:rFonts w:hint="eastAsia"/>
          <w:b/>
          <w:sz w:val="24"/>
        </w:rPr>
      </w:pPr>
      <w:r>
        <w:rPr>
          <w:rFonts w:hint="eastAsia"/>
          <w:b/>
          <w:sz w:val="24"/>
        </w:rPr>
        <w:t xml:space="preserve">甲方（盖章）：                   </w:t>
      </w:r>
      <w:r>
        <w:rPr>
          <w:rFonts w:hint="eastAsia"/>
          <w:b/>
          <w:sz w:val="24"/>
          <w:lang w:val="en-US" w:eastAsia="zh-CN"/>
        </w:rPr>
        <w:t xml:space="preserve">                       </w:t>
      </w:r>
      <w:r>
        <w:rPr>
          <w:rFonts w:hint="eastAsia"/>
          <w:b/>
          <w:sz w:val="24"/>
        </w:rPr>
        <w:t xml:space="preserve">    </w:t>
      </w:r>
      <w:r>
        <w:rPr>
          <w:rFonts w:hint="eastAsia"/>
          <w:b/>
          <w:sz w:val="24"/>
          <w:lang w:val="en-US" w:eastAsia="zh-CN"/>
        </w:rPr>
        <w:t xml:space="preserve">               </w:t>
      </w:r>
      <w:r>
        <w:rPr>
          <w:rFonts w:hint="eastAsia"/>
          <w:b/>
          <w:sz w:val="24"/>
        </w:rPr>
        <w:t xml:space="preserve">  乙方</w:t>
      </w:r>
      <w:r>
        <w:rPr>
          <w:rFonts w:hint="eastAsia"/>
          <w:b/>
          <w:sz w:val="24"/>
          <w:lang w:eastAsia="zh-CN"/>
        </w:rPr>
        <w:t>（</w:t>
      </w:r>
      <w:r>
        <w:rPr>
          <w:rFonts w:hint="eastAsia"/>
          <w:b/>
          <w:sz w:val="24"/>
          <w:lang w:val="en-US" w:eastAsia="zh-CN"/>
        </w:rPr>
        <w:t>盖章</w:t>
      </w:r>
      <w:r>
        <w:rPr>
          <w:rFonts w:hint="eastAsia"/>
          <w:b/>
          <w:sz w:val="24"/>
          <w:lang w:eastAsia="zh-CN"/>
        </w:rPr>
        <w:t>）</w:t>
      </w:r>
      <w:r>
        <w:rPr>
          <w:rFonts w:hint="eastAsia"/>
          <w:b/>
          <w:sz w:val="24"/>
        </w:rPr>
        <w:t>：</w:t>
      </w:r>
    </w:p>
    <w:p w14:paraId="48313762">
      <w:pPr>
        <w:spacing w:line="360" w:lineRule="auto"/>
        <w:ind w:firstLine="5783" w:firstLineChars="2400"/>
        <w:rPr>
          <w:rFonts w:hint="default" w:eastAsia="宋体"/>
          <w:b/>
          <w:sz w:val="24"/>
          <w:lang w:val="en-US" w:eastAsia="zh-CN"/>
        </w:rPr>
      </w:pPr>
      <w:r>
        <w:rPr>
          <w:rFonts w:hint="eastAsia"/>
          <w:b/>
          <w:sz w:val="24"/>
          <w:lang w:val="en-US" w:eastAsia="zh-CN"/>
        </w:rPr>
        <w:t>上海市老年医学中心</w:t>
      </w:r>
    </w:p>
    <w:p w14:paraId="50AE1D85">
      <w:pPr>
        <w:spacing w:line="360" w:lineRule="auto"/>
        <w:rPr>
          <w:rFonts w:hint="default" w:eastAsia="宋体"/>
          <w:b/>
          <w:sz w:val="24"/>
          <w:lang w:val="en-US" w:eastAsia="zh-CN"/>
        </w:rPr>
      </w:pPr>
      <w:r>
        <w:rPr>
          <w:b/>
          <w:sz w:val="24"/>
        </w:rPr>
        <w:t xml:space="preserve">       </w:t>
      </w:r>
      <w:r>
        <w:rPr>
          <w:rFonts w:hint="eastAsia"/>
          <w:b/>
          <w:sz w:val="24"/>
          <w:lang w:val="en-US" w:eastAsia="zh-CN"/>
        </w:rPr>
        <w:t xml:space="preserve">       </w:t>
      </w:r>
    </w:p>
    <w:p w14:paraId="700D8BC0">
      <w:pPr>
        <w:spacing w:line="360" w:lineRule="auto"/>
        <w:ind w:firstLine="241" w:firstLineChars="100"/>
        <w:jc w:val="both"/>
        <w:rPr>
          <w:rFonts w:hint="eastAsia"/>
          <w:b/>
          <w:sz w:val="24"/>
        </w:rPr>
      </w:pPr>
      <w:r>
        <w:rPr>
          <w:rFonts w:hint="eastAsia"/>
          <w:b/>
          <w:sz w:val="24"/>
        </w:rPr>
        <w:t>法定代表人/授权</w:t>
      </w:r>
      <w:r>
        <w:rPr>
          <w:rFonts w:hint="eastAsia"/>
          <w:b/>
          <w:sz w:val="24"/>
          <w:lang w:val="en-US" w:eastAsia="zh-CN"/>
        </w:rPr>
        <w:t xml:space="preserve">人                                                           </w:t>
      </w:r>
      <w:r>
        <w:rPr>
          <w:rFonts w:hint="eastAsia"/>
          <w:b/>
          <w:sz w:val="24"/>
        </w:rPr>
        <w:t>法定代表或授权人</w:t>
      </w:r>
    </w:p>
    <w:p w14:paraId="1ED48C55">
      <w:pPr>
        <w:spacing w:line="360" w:lineRule="auto"/>
        <w:ind w:firstLine="241" w:firstLineChars="100"/>
        <w:rPr>
          <w:rFonts w:hint="eastAsia"/>
          <w:b/>
          <w:sz w:val="24"/>
        </w:rPr>
      </w:pPr>
      <w:r>
        <w:rPr>
          <w:rFonts w:hint="eastAsia"/>
          <w:b/>
          <w:sz w:val="24"/>
        </w:rPr>
        <w:t>签字</w:t>
      </w:r>
      <w:r>
        <w:rPr>
          <w:rFonts w:hint="eastAsia"/>
          <w:b/>
          <w:sz w:val="24"/>
          <w:lang w:eastAsia="zh-CN"/>
        </w:rPr>
        <w:t>：</w:t>
      </w:r>
      <w:r>
        <w:rPr>
          <w:rFonts w:hint="eastAsia"/>
          <w:b/>
          <w:sz w:val="24"/>
        </w:rPr>
        <w:t xml:space="preserve">              </w:t>
      </w:r>
      <w:r>
        <w:rPr>
          <w:rFonts w:hint="eastAsia"/>
          <w:b/>
          <w:sz w:val="24"/>
          <w:lang w:val="en-US" w:eastAsia="zh-CN"/>
        </w:rPr>
        <w:t xml:space="preserve">                  </w:t>
      </w:r>
      <w:r>
        <w:rPr>
          <w:rFonts w:hint="eastAsia"/>
          <w:b/>
          <w:sz w:val="24"/>
        </w:rPr>
        <w:t xml:space="preserve">       </w:t>
      </w:r>
      <w:r>
        <w:rPr>
          <w:rFonts w:hint="eastAsia"/>
          <w:b/>
          <w:sz w:val="24"/>
          <w:lang w:val="en-US" w:eastAsia="zh-CN"/>
        </w:rPr>
        <w:t xml:space="preserve">                                         </w:t>
      </w:r>
      <w:r>
        <w:rPr>
          <w:rFonts w:hint="eastAsia"/>
          <w:b/>
          <w:sz w:val="24"/>
        </w:rPr>
        <w:t>签字</w:t>
      </w:r>
      <w:r>
        <w:rPr>
          <w:rFonts w:hint="eastAsia"/>
          <w:b/>
          <w:sz w:val="24"/>
          <w:lang w:eastAsia="zh-CN"/>
        </w:rPr>
        <w:t>：</w:t>
      </w:r>
      <w:r>
        <w:rPr>
          <w:rFonts w:hint="eastAsia"/>
          <w:b/>
          <w:sz w:val="24"/>
        </w:rPr>
        <w:t xml:space="preserve">              </w:t>
      </w:r>
      <w:r>
        <w:rPr>
          <w:rFonts w:hint="eastAsia"/>
          <w:b/>
          <w:sz w:val="24"/>
          <w:lang w:val="en-US" w:eastAsia="zh-CN"/>
        </w:rPr>
        <w:t xml:space="preserve">                  </w:t>
      </w:r>
      <w:r>
        <w:rPr>
          <w:rFonts w:hint="eastAsia"/>
          <w:b/>
          <w:sz w:val="24"/>
        </w:rPr>
        <w:t xml:space="preserve">       </w:t>
      </w:r>
      <w:r>
        <w:rPr>
          <w:rFonts w:hint="eastAsia"/>
          <w:b/>
          <w:sz w:val="24"/>
          <w:lang w:val="en-US" w:eastAsia="zh-CN"/>
        </w:rPr>
        <w:t xml:space="preserve">   </w:t>
      </w:r>
    </w:p>
    <w:p w14:paraId="2166AC88">
      <w:pPr>
        <w:spacing w:line="360" w:lineRule="auto"/>
        <w:ind w:firstLine="241" w:firstLineChars="100"/>
        <w:rPr>
          <w:rFonts w:hint="eastAsia"/>
          <w:b/>
          <w:sz w:val="24"/>
        </w:rPr>
      </w:pPr>
      <w:r>
        <w:rPr>
          <w:rFonts w:hint="eastAsia"/>
          <w:b/>
          <w:sz w:val="24"/>
        </w:rPr>
        <w:t xml:space="preserve">签字日期：     年     月     日     </w:t>
      </w:r>
      <w:r>
        <w:rPr>
          <w:rFonts w:hint="eastAsia"/>
          <w:b/>
          <w:sz w:val="24"/>
          <w:lang w:val="en-US" w:eastAsia="zh-CN"/>
        </w:rPr>
        <w:t xml:space="preserve">                                        </w:t>
      </w:r>
      <w:r>
        <w:rPr>
          <w:rFonts w:hint="eastAsia"/>
          <w:b/>
          <w:sz w:val="24"/>
        </w:rPr>
        <w:t xml:space="preserve">签字日期：     年     月     日   </w:t>
      </w:r>
    </w:p>
    <w:p w14:paraId="61671044">
      <w:pPr>
        <w:spacing w:line="360" w:lineRule="auto"/>
        <w:rPr>
          <w:rFonts w:hint="eastAsia"/>
          <w:b/>
          <w:sz w:val="24"/>
        </w:rPr>
      </w:pPr>
      <w:r>
        <w:rPr>
          <w:rFonts w:hint="eastAsia"/>
          <w:b/>
          <w:sz w:val="24"/>
        </w:rPr>
        <w:t xml:space="preserve">    </w:t>
      </w:r>
    </w:p>
    <w:p w14:paraId="7DC34C45">
      <w:pPr>
        <w:spacing w:line="360" w:lineRule="auto"/>
        <w:ind w:firstLine="5783" w:firstLineChars="2400"/>
        <w:rPr>
          <w:rFonts w:hint="eastAsia"/>
          <w:b/>
          <w:sz w:val="24"/>
        </w:rPr>
      </w:pPr>
      <w:r>
        <w:rPr>
          <w:rFonts w:hint="eastAsia"/>
          <w:b/>
          <w:sz w:val="24"/>
        </w:rPr>
        <w:t>主要研究者</w:t>
      </w:r>
    </w:p>
    <w:p w14:paraId="7AE2DF87">
      <w:pPr>
        <w:spacing w:line="360" w:lineRule="auto"/>
        <w:ind w:firstLine="5783" w:firstLineChars="2400"/>
        <w:rPr>
          <w:rFonts w:hint="eastAsia"/>
          <w:b/>
          <w:sz w:val="24"/>
        </w:rPr>
      </w:pPr>
      <w:r>
        <w:rPr>
          <w:rFonts w:hint="eastAsia"/>
          <w:b/>
          <w:sz w:val="24"/>
        </w:rPr>
        <w:t>签字</w:t>
      </w:r>
      <w:r>
        <w:rPr>
          <w:rFonts w:hint="eastAsia"/>
          <w:b/>
          <w:sz w:val="24"/>
          <w:lang w:eastAsia="zh-CN"/>
        </w:rPr>
        <w:t>：</w:t>
      </w:r>
      <w:r>
        <w:rPr>
          <w:rFonts w:hint="eastAsia"/>
          <w:b/>
          <w:sz w:val="24"/>
        </w:rPr>
        <w:t xml:space="preserve">              </w:t>
      </w:r>
      <w:r>
        <w:rPr>
          <w:rFonts w:hint="eastAsia"/>
          <w:b/>
          <w:sz w:val="24"/>
          <w:lang w:val="en-US" w:eastAsia="zh-CN"/>
        </w:rPr>
        <w:t xml:space="preserve">                  </w:t>
      </w:r>
      <w:r>
        <w:rPr>
          <w:rFonts w:hint="eastAsia"/>
          <w:b/>
          <w:sz w:val="24"/>
        </w:rPr>
        <w:t xml:space="preserve">       </w:t>
      </w:r>
      <w:r>
        <w:rPr>
          <w:rFonts w:hint="eastAsia"/>
          <w:b/>
          <w:sz w:val="24"/>
          <w:lang w:val="en-US" w:eastAsia="zh-CN"/>
        </w:rPr>
        <w:t xml:space="preserve">   </w:t>
      </w:r>
    </w:p>
    <w:p w14:paraId="085C7E3F">
      <w:pPr>
        <w:spacing w:line="360" w:lineRule="auto"/>
        <w:ind w:firstLine="5783" w:firstLineChars="2400"/>
        <w:rPr>
          <w:rFonts w:hint="eastAsia"/>
          <w:b/>
          <w:sz w:val="32"/>
          <w:szCs w:val="32"/>
        </w:rPr>
      </w:pPr>
      <w:r>
        <w:rPr>
          <w:rFonts w:hint="eastAsia"/>
          <w:b/>
          <w:sz w:val="24"/>
        </w:rPr>
        <w:t xml:space="preserve">签字日期：     年     月     日  </w:t>
      </w:r>
    </w:p>
    <w:p w14:paraId="7470F992">
      <w:pPr>
        <w:spacing w:line="360" w:lineRule="auto"/>
        <w:rPr>
          <w:sz w:val="24"/>
        </w:rPr>
      </w:pPr>
    </w:p>
    <w:p w14:paraId="3090E46D">
      <w:pPr>
        <w:rPr>
          <w:kern w:val="0"/>
          <w:sz w:val="24"/>
        </w:rPr>
      </w:pPr>
    </w:p>
    <w:p w14:paraId="1544C8C7">
      <w:pPr>
        <w:outlineLvl w:val="0"/>
        <w:rPr>
          <w:rFonts w:hint="eastAsia"/>
          <w:kern w:val="0"/>
          <w:sz w:val="24"/>
        </w:rPr>
      </w:pPr>
      <w:bookmarkStart w:id="13" w:name="_Toc11979"/>
    </w:p>
    <w:p w14:paraId="2A7F448A">
      <w:pPr>
        <w:outlineLvl w:val="0"/>
        <w:rPr>
          <w:rFonts w:hint="eastAsia"/>
          <w:kern w:val="0"/>
          <w:sz w:val="24"/>
        </w:rPr>
      </w:pPr>
    </w:p>
    <w:p w14:paraId="4278F7BE">
      <w:pPr>
        <w:pStyle w:val="2"/>
        <w:rPr>
          <w:rFonts w:hint="eastAsia"/>
          <w:kern w:val="0"/>
          <w:sz w:val="24"/>
        </w:rPr>
      </w:pPr>
    </w:p>
    <w:p w14:paraId="745E62F9">
      <w:pPr>
        <w:pStyle w:val="2"/>
        <w:rPr>
          <w:rFonts w:hint="eastAsia"/>
          <w:kern w:val="0"/>
          <w:sz w:val="24"/>
        </w:rPr>
      </w:pPr>
    </w:p>
    <w:p w14:paraId="4F7A2E43">
      <w:pPr>
        <w:pStyle w:val="2"/>
        <w:rPr>
          <w:rFonts w:hint="eastAsia"/>
          <w:kern w:val="0"/>
          <w:sz w:val="24"/>
        </w:rPr>
      </w:pPr>
    </w:p>
    <w:p w14:paraId="26834EFA">
      <w:pPr>
        <w:pStyle w:val="2"/>
        <w:rPr>
          <w:rFonts w:hint="eastAsia"/>
          <w:kern w:val="0"/>
          <w:sz w:val="24"/>
        </w:rPr>
      </w:pPr>
    </w:p>
    <w:p w14:paraId="7D910443">
      <w:pPr>
        <w:pStyle w:val="2"/>
        <w:rPr>
          <w:rFonts w:hint="eastAsia"/>
          <w:kern w:val="0"/>
          <w:sz w:val="24"/>
        </w:rPr>
      </w:pPr>
    </w:p>
    <w:p w14:paraId="535C3500">
      <w:pPr>
        <w:pStyle w:val="2"/>
        <w:rPr>
          <w:rFonts w:hint="eastAsia"/>
          <w:kern w:val="0"/>
          <w:sz w:val="24"/>
        </w:rPr>
      </w:pPr>
    </w:p>
    <w:p w14:paraId="6E2CE25A">
      <w:pPr>
        <w:pStyle w:val="2"/>
        <w:rPr>
          <w:rFonts w:hint="eastAsia"/>
          <w:kern w:val="0"/>
          <w:sz w:val="24"/>
        </w:rPr>
      </w:pPr>
    </w:p>
    <w:p w14:paraId="50B47AB0">
      <w:pPr>
        <w:pStyle w:val="2"/>
        <w:rPr>
          <w:rFonts w:hint="eastAsia"/>
          <w:kern w:val="0"/>
          <w:sz w:val="24"/>
        </w:rPr>
      </w:pPr>
    </w:p>
    <w:p w14:paraId="47D68CF7">
      <w:pPr>
        <w:pStyle w:val="2"/>
        <w:rPr>
          <w:rFonts w:hint="eastAsia"/>
          <w:kern w:val="0"/>
          <w:sz w:val="24"/>
        </w:rPr>
      </w:pPr>
    </w:p>
    <w:p w14:paraId="3032A90D">
      <w:pPr>
        <w:pStyle w:val="2"/>
        <w:rPr>
          <w:rFonts w:hint="eastAsia"/>
          <w:kern w:val="0"/>
          <w:sz w:val="24"/>
        </w:rPr>
      </w:pPr>
    </w:p>
    <w:p w14:paraId="07BFD83A">
      <w:pPr>
        <w:pStyle w:val="2"/>
        <w:rPr>
          <w:rFonts w:hint="eastAsia"/>
          <w:kern w:val="0"/>
          <w:sz w:val="24"/>
        </w:rPr>
      </w:pPr>
    </w:p>
    <w:p w14:paraId="26D2F242">
      <w:pPr>
        <w:pStyle w:val="2"/>
        <w:rPr>
          <w:rFonts w:hint="eastAsia"/>
          <w:kern w:val="0"/>
          <w:sz w:val="24"/>
        </w:rPr>
      </w:pPr>
    </w:p>
    <w:p w14:paraId="0C103315">
      <w:pPr>
        <w:outlineLvl w:val="9"/>
        <w:rPr>
          <w:rFonts w:hint="eastAsia"/>
          <w:kern w:val="0"/>
          <w:sz w:val="24"/>
        </w:rPr>
      </w:pPr>
    </w:p>
    <w:bookmarkEnd w:id="13"/>
    <w:p w14:paraId="3BD56239">
      <w:pPr>
        <w:rPr>
          <w:rFonts w:hint="eastAsia" w:ascii="宋体" w:hAnsi="宋体" w:cs="Arial"/>
          <w:b/>
          <w:bCs/>
          <w:color w:val="000000"/>
          <w:sz w:val="32"/>
          <w:szCs w:val="32"/>
          <w:lang w:eastAsia="zh-CN"/>
        </w:rPr>
      </w:pPr>
      <w:bookmarkStart w:id="14" w:name="RANGE!A1:E89"/>
      <w:r>
        <w:rPr>
          <w:rFonts w:hint="eastAsia" w:ascii="宋体" w:hAnsi="宋体" w:cs="Arial"/>
          <w:b/>
          <w:bCs/>
          <w:color w:val="000000"/>
          <w:sz w:val="32"/>
          <w:szCs w:val="32"/>
          <w:lang w:eastAsia="zh-CN"/>
        </w:rPr>
        <w:br w:type="page"/>
      </w:r>
    </w:p>
    <w:tbl>
      <w:tblPr>
        <w:tblStyle w:val="8"/>
        <w:tblW w:w="8591" w:type="dxa"/>
        <w:tblInd w:w="0" w:type="dxa"/>
        <w:tblLayout w:type="fixed"/>
        <w:tblCellMar>
          <w:top w:w="0" w:type="dxa"/>
          <w:left w:w="108" w:type="dxa"/>
          <w:bottom w:w="0" w:type="dxa"/>
          <w:right w:w="108" w:type="dxa"/>
        </w:tblCellMar>
      </w:tblPr>
      <w:tblGrid>
        <w:gridCol w:w="1448"/>
        <w:gridCol w:w="2933"/>
        <w:gridCol w:w="1356"/>
        <w:gridCol w:w="10"/>
        <w:gridCol w:w="1360"/>
        <w:gridCol w:w="19"/>
        <w:gridCol w:w="1465"/>
      </w:tblGrid>
      <w:tr w14:paraId="3B9DDF81">
        <w:tblPrEx>
          <w:tblCellMar>
            <w:top w:w="0" w:type="dxa"/>
            <w:left w:w="108" w:type="dxa"/>
            <w:bottom w:w="0" w:type="dxa"/>
            <w:right w:w="108" w:type="dxa"/>
          </w:tblCellMar>
        </w:tblPrEx>
        <w:trPr>
          <w:trHeight w:val="426" w:hRule="atLeast"/>
        </w:trPr>
        <w:tc>
          <w:tcPr>
            <w:tcW w:w="5747" w:type="dxa"/>
            <w:gridSpan w:val="4"/>
            <w:tcBorders>
              <w:top w:val="nil"/>
              <w:left w:val="nil"/>
              <w:bottom w:val="single" w:color="auto" w:sz="8" w:space="0"/>
              <w:right w:val="nil"/>
            </w:tcBorders>
            <w:shd w:val="clear" w:color="auto" w:fill="auto"/>
            <w:vAlign w:val="center"/>
          </w:tcPr>
          <w:p w14:paraId="17380C91">
            <w:pPr>
              <w:rPr>
                <w:rFonts w:ascii="Arial" w:hAnsi="Arial" w:cs="Arial"/>
                <w:b/>
                <w:bCs/>
                <w:color w:val="000000"/>
                <w:sz w:val="32"/>
                <w:szCs w:val="32"/>
                <w:lang w:eastAsia="zh-CN"/>
              </w:rPr>
            </w:pPr>
            <w:r>
              <w:rPr>
                <w:rFonts w:hint="eastAsia" w:ascii="宋体" w:hAnsi="宋体" w:cs="Arial"/>
                <w:b/>
                <w:bCs/>
                <w:color w:val="000000"/>
                <w:sz w:val="32"/>
                <w:szCs w:val="32"/>
                <w:lang w:eastAsia="zh-CN"/>
              </w:rPr>
              <w:t>附件</w:t>
            </w:r>
            <w:r>
              <w:rPr>
                <w:rFonts w:ascii="Arial" w:hAnsi="Arial" w:cs="Arial"/>
                <w:b/>
                <w:bCs/>
                <w:color w:val="000000"/>
                <w:sz w:val="32"/>
                <w:szCs w:val="32"/>
                <w:lang w:eastAsia="zh-CN"/>
              </w:rPr>
              <w:t xml:space="preserve">  </w:t>
            </w:r>
            <w:bookmarkEnd w:id="14"/>
            <w:r>
              <w:rPr>
                <w:rFonts w:hint="eastAsia" w:ascii="Arial" w:hAnsi="Arial" w:cs="Arial"/>
                <w:b/>
                <w:bCs/>
                <w:color w:val="000000"/>
                <w:sz w:val="32"/>
                <w:szCs w:val="32"/>
                <w:lang w:eastAsia="zh-CN"/>
              </w:rPr>
              <w:t>预算明细</w:t>
            </w:r>
          </w:p>
        </w:tc>
        <w:tc>
          <w:tcPr>
            <w:tcW w:w="1360" w:type="dxa"/>
            <w:tcBorders>
              <w:top w:val="nil"/>
              <w:left w:val="nil"/>
              <w:bottom w:val="nil"/>
              <w:right w:val="nil"/>
            </w:tcBorders>
            <w:shd w:val="clear" w:color="auto" w:fill="auto"/>
            <w:vAlign w:val="center"/>
          </w:tcPr>
          <w:p w14:paraId="76A0BF68">
            <w:pPr>
              <w:rPr>
                <w:rFonts w:ascii="Arial" w:hAnsi="Arial" w:cs="Arial"/>
                <w:b/>
                <w:bCs/>
                <w:color w:val="000000"/>
                <w:sz w:val="32"/>
                <w:szCs w:val="32"/>
                <w:lang w:eastAsia="zh-CN"/>
              </w:rPr>
            </w:pPr>
          </w:p>
        </w:tc>
        <w:tc>
          <w:tcPr>
            <w:tcW w:w="1484" w:type="dxa"/>
            <w:gridSpan w:val="2"/>
            <w:tcBorders>
              <w:top w:val="nil"/>
              <w:left w:val="nil"/>
              <w:bottom w:val="nil"/>
              <w:right w:val="nil"/>
            </w:tcBorders>
            <w:shd w:val="clear" w:color="auto" w:fill="auto"/>
            <w:vAlign w:val="center"/>
          </w:tcPr>
          <w:p w14:paraId="087C56B4">
            <w:pPr>
              <w:jc w:val="center"/>
              <w:rPr>
                <w:rFonts w:ascii="Arial" w:hAnsi="Arial" w:cs="Arial"/>
                <w:b/>
                <w:bCs/>
                <w:color w:val="FFFFFF"/>
                <w:sz w:val="32"/>
                <w:szCs w:val="32"/>
                <w:lang w:eastAsia="zh-CN"/>
              </w:rPr>
            </w:pPr>
          </w:p>
        </w:tc>
      </w:tr>
      <w:tr w14:paraId="659D1BEB">
        <w:tblPrEx>
          <w:tblCellMar>
            <w:top w:w="0" w:type="dxa"/>
            <w:left w:w="108" w:type="dxa"/>
            <w:bottom w:w="0" w:type="dxa"/>
            <w:right w:w="108" w:type="dxa"/>
          </w:tblCellMar>
        </w:tblPrEx>
        <w:trPr>
          <w:trHeight w:val="60" w:hRule="atLeast"/>
        </w:trPr>
        <w:tc>
          <w:tcPr>
            <w:tcW w:w="1448" w:type="dxa"/>
            <w:tcBorders>
              <w:top w:val="nil"/>
              <w:left w:val="single" w:color="auto" w:sz="8" w:space="0"/>
              <w:bottom w:val="single" w:color="auto" w:sz="4" w:space="0"/>
              <w:right w:val="single" w:color="auto" w:sz="4" w:space="0"/>
            </w:tcBorders>
            <w:shd w:val="clear" w:color="auto" w:fill="auto"/>
            <w:vAlign w:val="center"/>
          </w:tcPr>
          <w:p w14:paraId="775838A9">
            <w:pPr>
              <w:jc w:val="center"/>
              <w:rPr>
                <w:rFonts w:ascii="Arial" w:hAnsi="Arial" w:cs="Arial"/>
                <w:b/>
                <w:bCs/>
                <w:color w:val="000000"/>
                <w:sz w:val="32"/>
                <w:szCs w:val="32"/>
                <w:lang w:eastAsia="zh-CN"/>
              </w:rPr>
            </w:pPr>
            <w:r>
              <w:rPr>
                <w:rFonts w:ascii="Arial" w:hAnsi="Arial" w:cs="Arial"/>
                <w:b/>
                <w:bCs/>
                <w:color w:val="000000"/>
                <w:sz w:val="32"/>
                <w:szCs w:val="32"/>
                <w:lang w:eastAsia="zh-CN"/>
              </w:rPr>
              <w:t>　</w:t>
            </w:r>
          </w:p>
        </w:tc>
        <w:tc>
          <w:tcPr>
            <w:tcW w:w="2933" w:type="dxa"/>
            <w:tcBorders>
              <w:top w:val="nil"/>
              <w:left w:val="nil"/>
              <w:bottom w:val="single" w:color="auto" w:sz="4" w:space="0"/>
              <w:right w:val="single" w:color="auto" w:sz="4" w:space="0"/>
            </w:tcBorders>
            <w:shd w:val="clear" w:color="auto" w:fill="auto"/>
            <w:vAlign w:val="center"/>
          </w:tcPr>
          <w:p w14:paraId="6D25B92D">
            <w:pPr>
              <w:jc w:val="center"/>
              <w:rPr>
                <w:rFonts w:ascii="Arial" w:hAnsi="Arial" w:cs="Arial"/>
                <w:b/>
                <w:bCs/>
                <w:color w:val="000000"/>
                <w:lang w:eastAsia="zh-CN"/>
              </w:rPr>
            </w:pPr>
            <w:r>
              <w:rPr>
                <w:rFonts w:hint="eastAsia" w:ascii="宋体" w:hAnsi="宋体" w:cs="Arial"/>
                <w:b/>
                <w:bCs/>
                <w:color w:val="000000"/>
                <w:lang w:eastAsia="zh-CN"/>
              </w:rPr>
              <w:t>项目</w:t>
            </w:r>
          </w:p>
        </w:tc>
        <w:tc>
          <w:tcPr>
            <w:tcW w:w="1356" w:type="dxa"/>
            <w:tcBorders>
              <w:top w:val="nil"/>
              <w:left w:val="nil"/>
              <w:bottom w:val="single" w:color="auto" w:sz="4" w:space="0"/>
              <w:right w:val="single" w:color="auto" w:sz="4" w:space="0"/>
            </w:tcBorders>
            <w:shd w:val="clear" w:color="auto" w:fill="auto"/>
            <w:vAlign w:val="center"/>
          </w:tcPr>
          <w:p w14:paraId="4C1AB26E">
            <w:pPr>
              <w:jc w:val="center"/>
              <w:rPr>
                <w:rFonts w:ascii="Arial" w:hAnsi="Arial" w:cs="Arial"/>
                <w:b/>
                <w:bCs/>
                <w:color w:val="000000"/>
                <w:sz w:val="20"/>
                <w:szCs w:val="20"/>
                <w:lang w:eastAsia="zh-CN"/>
              </w:rPr>
            </w:pPr>
            <w:r>
              <w:rPr>
                <w:rFonts w:ascii="Arial" w:hAnsi="Arial" w:cs="Arial"/>
                <w:b/>
                <w:bCs/>
                <w:color w:val="000000"/>
                <w:sz w:val="20"/>
                <w:szCs w:val="20"/>
                <w:lang w:eastAsia="zh-CN"/>
              </w:rPr>
              <w:t xml:space="preserve"> 小计（CNY） </w:t>
            </w:r>
          </w:p>
        </w:tc>
        <w:tc>
          <w:tcPr>
            <w:tcW w:w="2854" w:type="dxa"/>
            <w:gridSpan w:val="4"/>
            <w:tcBorders>
              <w:top w:val="single" w:color="auto" w:sz="8" w:space="0"/>
              <w:left w:val="nil"/>
              <w:bottom w:val="single" w:color="auto" w:sz="4" w:space="0"/>
              <w:right w:val="single" w:color="auto" w:sz="8" w:space="0"/>
            </w:tcBorders>
            <w:shd w:val="clear" w:color="auto" w:fill="auto"/>
            <w:vAlign w:val="center"/>
          </w:tcPr>
          <w:p w14:paraId="36EE76EF">
            <w:pPr>
              <w:jc w:val="center"/>
              <w:rPr>
                <w:rFonts w:ascii="Arial" w:hAnsi="Arial" w:cs="Arial"/>
                <w:b/>
                <w:bCs/>
                <w:color w:val="000000"/>
                <w:sz w:val="20"/>
                <w:szCs w:val="20"/>
                <w:lang w:eastAsia="zh-CN"/>
              </w:rPr>
            </w:pPr>
            <w:r>
              <w:rPr>
                <w:rFonts w:ascii="Arial" w:hAnsi="Arial" w:cs="Arial"/>
                <w:b/>
                <w:bCs/>
                <w:color w:val="000000"/>
                <w:sz w:val="20"/>
                <w:szCs w:val="20"/>
                <w:lang w:eastAsia="zh-CN"/>
              </w:rPr>
              <w:t xml:space="preserve"> </w:t>
            </w:r>
            <w:r>
              <w:rPr>
                <w:rFonts w:hint="eastAsia" w:ascii="宋体" w:hAnsi="宋体" w:cs="Arial"/>
                <w:b/>
                <w:bCs/>
                <w:color w:val="000000"/>
                <w:sz w:val="20"/>
                <w:szCs w:val="20"/>
                <w:lang w:eastAsia="zh-CN"/>
              </w:rPr>
              <w:t>说明</w:t>
            </w:r>
          </w:p>
        </w:tc>
      </w:tr>
      <w:tr w14:paraId="0D69DAFA">
        <w:tblPrEx>
          <w:tblCellMar>
            <w:top w:w="0" w:type="dxa"/>
            <w:left w:w="108" w:type="dxa"/>
            <w:bottom w:w="0" w:type="dxa"/>
            <w:right w:w="108" w:type="dxa"/>
          </w:tblCellMar>
        </w:tblPrEx>
        <w:trPr>
          <w:trHeight w:val="328" w:hRule="atLeast"/>
        </w:trPr>
        <w:tc>
          <w:tcPr>
            <w:tcW w:w="1448" w:type="dxa"/>
            <w:tcBorders>
              <w:top w:val="nil"/>
              <w:left w:val="single" w:color="auto" w:sz="8" w:space="0"/>
              <w:bottom w:val="single" w:color="auto" w:sz="4" w:space="0"/>
              <w:right w:val="single" w:color="auto" w:sz="4" w:space="0"/>
            </w:tcBorders>
            <w:shd w:val="clear" w:color="000000" w:fill="FFFFFF" w:themeFill="background1"/>
            <w:noWrap/>
            <w:vAlign w:val="center"/>
          </w:tcPr>
          <w:p w14:paraId="7AEAEDC4">
            <w:pPr>
              <w:jc w:val="center"/>
              <w:rPr>
                <w:rFonts w:ascii="Arial" w:hAnsi="Arial" w:cs="Arial"/>
                <w:color w:val="auto"/>
                <w:sz w:val="20"/>
                <w:szCs w:val="20"/>
                <w:lang w:eastAsia="zh-CN"/>
              </w:rPr>
            </w:pPr>
            <w:r>
              <w:rPr>
                <w:rFonts w:hint="eastAsia" w:ascii="宋体" w:hAnsi="宋体" w:cs="Arial"/>
                <w:color w:val="auto"/>
                <w:sz w:val="20"/>
                <w:szCs w:val="20"/>
                <w:lang w:eastAsia="zh-CN"/>
              </w:rPr>
              <w:t>一</w:t>
            </w:r>
          </w:p>
        </w:tc>
        <w:tc>
          <w:tcPr>
            <w:tcW w:w="2933" w:type="dxa"/>
            <w:tcBorders>
              <w:top w:val="nil"/>
              <w:left w:val="nil"/>
              <w:bottom w:val="single" w:color="auto" w:sz="4" w:space="0"/>
              <w:right w:val="single" w:color="auto" w:sz="4" w:space="0"/>
            </w:tcBorders>
            <w:shd w:val="clear" w:color="000000" w:fill="FFFFFF" w:themeFill="background1"/>
            <w:vAlign w:val="center"/>
          </w:tcPr>
          <w:p w14:paraId="35CACD2C">
            <w:pPr>
              <w:rPr>
                <w:rFonts w:hint="default" w:ascii="Arial" w:hAnsi="Arial" w:cs="Arial"/>
                <w:b/>
                <w:bCs/>
                <w:color w:val="auto"/>
                <w:sz w:val="20"/>
                <w:szCs w:val="20"/>
                <w:lang w:val="en-US" w:eastAsia="zh-CN"/>
              </w:rPr>
            </w:pPr>
            <w:r>
              <w:rPr>
                <w:rFonts w:hint="eastAsia" w:ascii="宋体" w:hAnsi="宋体" w:cs="Arial"/>
                <w:b/>
                <w:bCs/>
                <w:color w:val="auto"/>
                <w:sz w:val="20"/>
                <w:szCs w:val="20"/>
                <w:lang w:eastAsia="zh-CN"/>
              </w:rPr>
              <w:t>机构费用</w:t>
            </w:r>
            <w:r>
              <w:rPr>
                <w:rFonts w:ascii="Arial" w:hAnsi="Arial" w:cs="Arial"/>
                <w:b/>
                <w:bCs/>
                <w:color w:val="auto"/>
                <w:sz w:val="20"/>
                <w:szCs w:val="20"/>
                <w:lang w:eastAsia="zh-CN"/>
              </w:rPr>
              <w:t>-</w:t>
            </w:r>
            <w:r>
              <w:rPr>
                <w:rFonts w:hint="eastAsia" w:ascii="宋体" w:hAnsi="宋体" w:cs="Arial"/>
                <w:b/>
                <w:bCs/>
                <w:color w:val="auto"/>
                <w:sz w:val="20"/>
                <w:szCs w:val="20"/>
                <w:lang w:eastAsia="zh-CN"/>
              </w:rPr>
              <w:t>上海</w:t>
            </w:r>
            <w:r>
              <w:rPr>
                <w:rFonts w:hint="eastAsia" w:ascii="宋体" w:hAnsi="宋体" w:cs="Arial"/>
                <w:b/>
                <w:bCs/>
                <w:color w:val="auto"/>
                <w:sz w:val="20"/>
                <w:szCs w:val="20"/>
                <w:lang w:val="en-US" w:eastAsia="zh-CN"/>
              </w:rPr>
              <w:t>市老年医学中心</w:t>
            </w:r>
          </w:p>
        </w:tc>
        <w:tc>
          <w:tcPr>
            <w:tcW w:w="1356" w:type="dxa"/>
            <w:tcBorders>
              <w:top w:val="nil"/>
              <w:left w:val="nil"/>
              <w:bottom w:val="single" w:color="auto" w:sz="4" w:space="0"/>
              <w:right w:val="single" w:color="auto" w:sz="4" w:space="0"/>
            </w:tcBorders>
            <w:shd w:val="clear" w:color="000000" w:fill="FFFFFF" w:themeFill="background1"/>
            <w:vAlign w:val="center"/>
          </w:tcPr>
          <w:p w14:paraId="0816963D">
            <w:pPr>
              <w:jc w:val="right"/>
              <w:rPr>
                <w:rFonts w:ascii="Arial" w:hAnsi="Arial" w:cs="Arial"/>
                <w:b/>
                <w:bCs/>
                <w:color w:val="auto"/>
                <w:sz w:val="20"/>
                <w:szCs w:val="20"/>
                <w:lang w:eastAsia="zh-CN"/>
              </w:rPr>
            </w:pPr>
            <w:r>
              <w:rPr>
                <w:rFonts w:ascii="Arial" w:hAnsi="Arial" w:cs="Arial"/>
                <w:b/>
                <w:bCs/>
                <w:color w:val="auto"/>
                <w:sz w:val="20"/>
                <w:szCs w:val="20"/>
                <w:lang w:eastAsia="zh-CN"/>
              </w:rPr>
              <w:t>　</w:t>
            </w:r>
          </w:p>
        </w:tc>
        <w:tc>
          <w:tcPr>
            <w:tcW w:w="2854" w:type="dxa"/>
            <w:gridSpan w:val="4"/>
            <w:tcBorders>
              <w:top w:val="nil"/>
              <w:left w:val="nil"/>
              <w:bottom w:val="single" w:color="auto" w:sz="4" w:space="0"/>
              <w:right w:val="single" w:color="auto" w:sz="8" w:space="0"/>
            </w:tcBorders>
            <w:shd w:val="clear" w:color="000000" w:fill="FFFFFF" w:themeFill="background1"/>
            <w:vAlign w:val="center"/>
          </w:tcPr>
          <w:p w14:paraId="3A33C3F0">
            <w:pPr>
              <w:jc w:val="right"/>
              <w:rPr>
                <w:rFonts w:ascii="Arial" w:hAnsi="Arial" w:cs="Arial"/>
                <w:b/>
                <w:bCs/>
                <w:color w:val="auto"/>
                <w:sz w:val="20"/>
                <w:szCs w:val="20"/>
                <w:lang w:eastAsia="zh-CN"/>
              </w:rPr>
            </w:pPr>
            <w:r>
              <w:rPr>
                <w:rFonts w:ascii="Arial" w:hAnsi="Arial" w:cs="Arial"/>
                <w:b/>
                <w:bCs/>
                <w:color w:val="auto"/>
                <w:sz w:val="20"/>
                <w:szCs w:val="20"/>
                <w:lang w:eastAsia="zh-CN"/>
              </w:rPr>
              <w:t>　</w:t>
            </w:r>
          </w:p>
          <w:p w14:paraId="2162EA4F">
            <w:pPr>
              <w:rPr>
                <w:rFonts w:ascii="Arial" w:hAnsi="Arial" w:cs="Arial"/>
                <w:b/>
                <w:bCs/>
                <w:color w:val="auto"/>
                <w:sz w:val="20"/>
                <w:szCs w:val="20"/>
                <w:lang w:eastAsia="zh-CN"/>
              </w:rPr>
            </w:pPr>
            <w:r>
              <w:rPr>
                <w:rFonts w:ascii="Arial" w:hAnsi="Arial" w:cs="Arial"/>
                <w:b/>
                <w:bCs/>
                <w:color w:val="auto"/>
                <w:sz w:val="20"/>
                <w:szCs w:val="20"/>
                <w:lang w:eastAsia="zh-CN"/>
              </w:rPr>
              <w:t>　</w:t>
            </w:r>
          </w:p>
        </w:tc>
      </w:tr>
      <w:tr w14:paraId="114AA64A">
        <w:tblPrEx>
          <w:tblCellMar>
            <w:top w:w="0" w:type="dxa"/>
            <w:left w:w="108" w:type="dxa"/>
            <w:bottom w:w="0" w:type="dxa"/>
            <w:right w:w="108" w:type="dxa"/>
          </w:tblCellMar>
        </w:tblPrEx>
        <w:trPr>
          <w:trHeight w:val="352"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54264344">
            <w:pPr>
              <w:jc w:val="center"/>
              <w:outlineLvl w:val="0"/>
              <w:rPr>
                <w:rFonts w:ascii="Arial" w:hAnsi="Arial" w:cs="Arial"/>
                <w:color w:val="000000"/>
                <w:sz w:val="20"/>
                <w:szCs w:val="20"/>
                <w:lang w:eastAsia="zh-CN"/>
              </w:rPr>
            </w:pPr>
            <w:r>
              <w:rPr>
                <w:rFonts w:ascii="Arial" w:hAnsi="Arial" w:cs="Arial"/>
                <w:color w:val="000000"/>
                <w:sz w:val="20"/>
                <w:szCs w:val="20"/>
                <w:lang w:eastAsia="zh-CN"/>
              </w:rPr>
              <w:t>B</w:t>
            </w:r>
          </w:p>
        </w:tc>
        <w:tc>
          <w:tcPr>
            <w:tcW w:w="2933" w:type="dxa"/>
            <w:tcBorders>
              <w:top w:val="nil"/>
              <w:left w:val="nil"/>
              <w:bottom w:val="single" w:color="auto" w:sz="4" w:space="0"/>
              <w:right w:val="single" w:color="auto" w:sz="4" w:space="0"/>
            </w:tcBorders>
            <w:shd w:val="clear" w:color="auto" w:fill="auto"/>
            <w:vAlign w:val="center"/>
          </w:tcPr>
          <w:p w14:paraId="329C8F7F">
            <w:pPr>
              <w:outlineLvl w:val="0"/>
              <w:rPr>
                <w:rFonts w:ascii="Arial" w:hAnsi="Arial" w:cs="Arial"/>
                <w:color w:val="000000"/>
                <w:sz w:val="20"/>
                <w:szCs w:val="20"/>
                <w:lang w:eastAsia="zh-CN"/>
              </w:rPr>
            </w:pPr>
            <w:r>
              <w:rPr>
                <w:rFonts w:ascii="Arial" w:hAnsi="Arial" w:cs="Arial"/>
                <w:color w:val="000000"/>
                <w:sz w:val="20"/>
                <w:szCs w:val="20"/>
                <w:lang w:eastAsia="zh-CN"/>
              </w:rPr>
              <w:t>检查检验费</w:t>
            </w:r>
          </w:p>
        </w:tc>
        <w:tc>
          <w:tcPr>
            <w:tcW w:w="1356" w:type="dxa"/>
            <w:tcBorders>
              <w:top w:val="nil"/>
              <w:left w:val="nil"/>
              <w:bottom w:val="single" w:color="auto" w:sz="4" w:space="0"/>
              <w:right w:val="single" w:color="auto" w:sz="4" w:space="0"/>
            </w:tcBorders>
            <w:shd w:val="clear" w:color="auto" w:fill="auto"/>
            <w:vAlign w:val="center"/>
          </w:tcPr>
          <w:p w14:paraId="0507439F">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7BBE8AE5">
            <w:pPr>
              <w:outlineLvl w:val="0"/>
              <w:rPr>
                <w:rFonts w:ascii="Arial" w:hAnsi="Arial" w:cs="Arial"/>
                <w:color w:val="000000"/>
                <w:sz w:val="20"/>
                <w:szCs w:val="20"/>
                <w:lang w:eastAsia="zh-CN"/>
              </w:rPr>
            </w:pPr>
            <w:r>
              <w:rPr>
                <w:rFonts w:ascii="Arial" w:hAnsi="Arial" w:cs="Arial"/>
                <w:color w:val="000000"/>
                <w:sz w:val="20"/>
                <w:szCs w:val="20"/>
                <w:lang w:eastAsia="zh-CN"/>
              </w:rPr>
              <w:t>　</w:t>
            </w:r>
          </w:p>
        </w:tc>
      </w:tr>
      <w:tr w14:paraId="73205196">
        <w:tblPrEx>
          <w:tblCellMar>
            <w:top w:w="0" w:type="dxa"/>
            <w:left w:w="108" w:type="dxa"/>
            <w:bottom w:w="0" w:type="dxa"/>
            <w:right w:w="108" w:type="dxa"/>
          </w:tblCellMar>
        </w:tblPrEx>
        <w:trPr>
          <w:trHeight w:val="314"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056507B5">
            <w:pPr>
              <w:jc w:val="center"/>
              <w:outlineLvl w:val="0"/>
              <w:rPr>
                <w:rFonts w:ascii="Arial" w:hAnsi="Arial" w:cs="Arial"/>
                <w:color w:val="000000"/>
                <w:sz w:val="20"/>
                <w:szCs w:val="20"/>
                <w:lang w:eastAsia="zh-CN"/>
              </w:rPr>
            </w:pPr>
            <w:r>
              <w:rPr>
                <w:rFonts w:ascii="Arial" w:hAnsi="Arial" w:cs="Arial"/>
                <w:color w:val="000000"/>
                <w:sz w:val="20"/>
                <w:szCs w:val="20"/>
                <w:lang w:eastAsia="zh-CN"/>
              </w:rPr>
              <w:t>C</w:t>
            </w:r>
          </w:p>
        </w:tc>
        <w:tc>
          <w:tcPr>
            <w:tcW w:w="2933" w:type="dxa"/>
            <w:tcBorders>
              <w:top w:val="nil"/>
              <w:left w:val="nil"/>
              <w:bottom w:val="single" w:color="auto" w:sz="4" w:space="0"/>
              <w:right w:val="single" w:color="auto" w:sz="4" w:space="0"/>
            </w:tcBorders>
            <w:shd w:val="clear" w:color="auto" w:fill="auto"/>
            <w:vAlign w:val="center"/>
          </w:tcPr>
          <w:p w14:paraId="01F216F0">
            <w:pPr>
              <w:outlineLvl w:val="0"/>
              <w:rPr>
                <w:rFonts w:ascii="Arial" w:hAnsi="Arial" w:cs="Arial"/>
                <w:color w:val="000000"/>
                <w:sz w:val="20"/>
                <w:szCs w:val="20"/>
                <w:lang w:eastAsia="zh-CN"/>
              </w:rPr>
            </w:pPr>
            <w:r>
              <w:rPr>
                <w:rFonts w:ascii="Arial" w:hAnsi="Arial" w:cs="Arial"/>
                <w:color w:val="000000"/>
                <w:sz w:val="20"/>
                <w:szCs w:val="20"/>
                <w:lang w:eastAsia="zh-CN"/>
              </w:rPr>
              <w:t>研究者劳务费</w:t>
            </w:r>
          </w:p>
        </w:tc>
        <w:tc>
          <w:tcPr>
            <w:tcW w:w="1356" w:type="dxa"/>
            <w:tcBorders>
              <w:top w:val="nil"/>
              <w:left w:val="nil"/>
              <w:bottom w:val="single" w:color="auto" w:sz="4" w:space="0"/>
              <w:right w:val="single" w:color="auto" w:sz="4" w:space="0"/>
            </w:tcBorders>
            <w:shd w:val="clear" w:color="auto" w:fill="auto"/>
            <w:vAlign w:val="center"/>
          </w:tcPr>
          <w:p w14:paraId="1B6137DC">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4" w:space="0"/>
            </w:tcBorders>
            <w:shd w:val="clear" w:color="auto" w:fill="auto"/>
            <w:vAlign w:val="center"/>
          </w:tcPr>
          <w:p w14:paraId="7AEF52F8">
            <w:pPr>
              <w:outlineLvl w:val="0"/>
              <w:rPr>
                <w:rFonts w:ascii="Arial" w:hAnsi="Arial" w:cs="Arial"/>
                <w:color w:val="000000"/>
                <w:sz w:val="20"/>
                <w:szCs w:val="20"/>
                <w:lang w:eastAsia="zh-CN"/>
              </w:rPr>
            </w:pPr>
            <w:r>
              <w:rPr>
                <w:rFonts w:ascii="Arial" w:hAnsi="Arial" w:cs="Arial"/>
                <w:color w:val="000000"/>
                <w:sz w:val="20"/>
                <w:szCs w:val="20"/>
                <w:lang w:eastAsia="zh-CN"/>
              </w:rPr>
              <w:t>　</w:t>
            </w:r>
          </w:p>
        </w:tc>
      </w:tr>
      <w:tr w14:paraId="58C2097E">
        <w:tblPrEx>
          <w:tblCellMar>
            <w:top w:w="0" w:type="dxa"/>
            <w:left w:w="108" w:type="dxa"/>
            <w:bottom w:w="0" w:type="dxa"/>
            <w:right w:w="108" w:type="dxa"/>
          </w:tblCellMar>
        </w:tblPrEx>
        <w:trPr>
          <w:trHeight w:val="340"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0E564F86">
            <w:pPr>
              <w:jc w:val="center"/>
              <w:outlineLvl w:val="0"/>
              <w:rPr>
                <w:rFonts w:ascii="Arial" w:hAnsi="Arial" w:cs="Arial"/>
                <w:color w:val="000000"/>
                <w:sz w:val="20"/>
                <w:szCs w:val="20"/>
                <w:lang w:eastAsia="zh-CN"/>
              </w:rPr>
            </w:pPr>
            <w:r>
              <w:rPr>
                <w:rFonts w:ascii="Arial" w:hAnsi="Arial" w:cs="Arial"/>
                <w:color w:val="000000"/>
                <w:sz w:val="20"/>
                <w:szCs w:val="20"/>
                <w:lang w:eastAsia="zh-CN"/>
              </w:rPr>
              <w:t>D</w:t>
            </w:r>
          </w:p>
        </w:tc>
        <w:tc>
          <w:tcPr>
            <w:tcW w:w="2933" w:type="dxa"/>
            <w:tcBorders>
              <w:top w:val="nil"/>
              <w:left w:val="nil"/>
              <w:bottom w:val="single" w:color="auto" w:sz="4" w:space="0"/>
              <w:right w:val="single" w:color="auto" w:sz="4" w:space="0"/>
            </w:tcBorders>
            <w:shd w:val="clear" w:color="auto" w:fill="auto"/>
            <w:vAlign w:val="center"/>
          </w:tcPr>
          <w:p w14:paraId="105B5C9B">
            <w:pPr>
              <w:outlineLvl w:val="0"/>
              <w:rPr>
                <w:rFonts w:ascii="Arial" w:hAnsi="Arial" w:cs="Arial"/>
                <w:color w:val="000000"/>
                <w:sz w:val="20"/>
                <w:szCs w:val="20"/>
                <w:lang w:eastAsia="zh-CN"/>
              </w:rPr>
            </w:pPr>
            <w:r>
              <w:rPr>
                <w:rFonts w:ascii="Arial" w:hAnsi="Arial" w:cs="Arial"/>
                <w:color w:val="000000"/>
                <w:sz w:val="20"/>
                <w:szCs w:val="20"/>
                <w:lang w:eastAsia="zh-CN"/>
              </w:rPr>
              <w:t>研究护士劳务费</w:t>
            </w:r>
          </w:p>
        </w:tc>
        <w:tc>
          <w:tcPr>
            <w:tcW w:w="1356" w:type="dxa"/>
            <w:tcBorders>
              <w:top w:val="nil"/>
              <w:left w:val="nil"/>
              <w:bottom w:val="single" w:color="auto" w:sz="4" w:space="0"/>
              <w:right w:val="single" w:color="auto" w:sz="4" w:space="0"/>
            </w:tcBorders>
            <w:shd w:val="clear" w:color="auto" w:fill="auto"/>
            <w:vAlign w:val="center"/>
          </w:tcPr>
          <w:p w14:paraId="5E102C71">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4" w:space="0"/>
            </w:tcBorders>
            <w:shd w:val="clear" w:color="auto" w:fill="auto"/>
            <w:vAlign w:val="center"/>
          </w:tcPr>
          <w:p w14:paraId="6175DC7E">
            <w:pPr>
              <w:outlineLvl w:val="0"/>
              <w:rPr>
                <w:rFonts w:ascii="Arial" w:hAnsi="Arial" w:cs="Arial"/>
                <w:color w:val="000000"/>
                <w:sz w:val="20"/>
                <w:szCs w:val="20"/>
                <w:lang w:eastAsia="zh-CN"/>
              </w:rPr>
            </w:pPr>
            <w:r>
              <w:rPr>
                <w:rFonts w:ascii="Arial" w:hAnsi="Arial" w:cs="Arial"/>
                <w:color w:val="000000"/>
                <w:sz w:val="20"/>
                <w:szCs w:val="20"/>
                <w:lang w:eastAsia="zh-CN"/>
              </w:rPr>
              <w:t>　</w:t>
            </w:r>
          </w:p>
        </w:tc>
      </w:tr>
      <w:tr w14:paraId="63ADB0C8">
        <w:tblPrEx>
          <w:tblCellMar>
            <w:top w:w="0" w:type="dxa"/>
            <w:left w:w="108" w:type="dxa"/>
            <w:bottom w:w="0" w:type="dxa"/>
            <w:right w:w="108" w:type="dxa"/>
          </w:tblCellMar>
        </w:tblPrEx>
        <w:trPr>
          <w:trHeight w:val="330"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2D97DFD7">
            <w:pPr>
              <w:jc w:val="center"/>
              <w:outlineLvl w:val="0"/>
              <w:rPr>
                <w:rFonts w:ascii="Arial" w:hAnsi="Arial" w:cs="Arial"/>
                <w:color w:val="000000"/>
                <w:sz w:val="20"/>
                <w:szCs w:val="20"/>
                <w:lang w:eastAsia="zh-CN"/>
              </w:rPr>
            </w:pPr>
            <w:r>
              <w:rPr>
                <w:rFonts w:ascii="Arial" w:hAnsi="Arial" w:cs="Arial"/>
                <w:color w:val="000000"/>
                <w:sz w:val="20"/>
                <w:szCs w:val="20"/>
                <w:lang w:eastAsia="zh-CN"/>
              </w:rPr>
              <w:t>F</w:t>
            </w:r>
          </w:p>
        </w:tc>
        <w:tc>
          <w:tcPr>
            <w:tcW w:w="2933" w:type="dxa"/>
            <w:tcBorders>
              <w:top w:val="nil"/>
              <w:left w:val="nil"/>
              <w:bottom w:val="single" w:color="auto" w:sz="4" w:space="0"/>
              <w:right w:val="single" w:color="auto" w:sz="4" w:space="0"/>
            </w:tcBorders>
            <w:shd w:val="clear" w:color="auto" w:fill="auto"/>
            <w:vAlign w:val="center"/>
          </w:tcPr>
          <w:p w14:paraId="65DED63F">
            <w:pPr>
              <w:outlineLvl w:val="0"/>
              <w:rPr>
                <w:rFonts w:ascii="Arial" w:hAnsi="Arial" w:cs="Arial"/>
                <w:color w:val="000000"/>
                <w:sz w:val="20"/>
                <w:szCs w:val="20"/>
                <w:lang w:eastAsia="zh-CN"/>
              </w:rPr>
            </w:pPr>
            <w:r>
              <w:rPr>
                <w:rFonts w:ascii="Arial" w:hAnsi="Arial" w:cs="Arial"/>
                <w:color w:val="000000"/>
                <w:sz w:val="20"/>
                <w:szCs w:val="20"/>
                <w:lang w:eastAsia="zh-CN"/>
              </w:rPr>
              <w:t>受试者补偿</w:t>
            </w:r>
          </w:p>
        </w:tc>
        <w:tc>
          <w:tcPr>
            <w:tcW w:w="1356" w:type="dxa"/>
            <w:tcBorders>
              <w:top w:val="nil"/>
              <w:left w:val="nil"/>
              <w:bottom w:val="single" w:color="auto" w:sz="4" w:space="0"/>
              <w:right w:val="single" w:color="auto" w:sz="4" w:space="0"/>
            </w:tcBorders>
            <w:shd w:val="clear" w:color="auto" w:fill="auto"/>
            <w:vAlign w:val="center"/>
          </w:tcPr>
          <w:p w14:paraId="61B52C44">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3C6C18B4">
            <w:pPr>
              <w:outlineLvl w:val="0"/>
              <w:rPr>
                <w:rFonts w:ascii="Arial" w:hAnsi="Arial" w:cs="Arial"/>
                <w:color w:val="000000"/>
                <w:sz w:val="20"/>
                <w:szCs w:val="20"/>
                <w:lang w:eastAsia="zh-CN"/>
              </w:rPr>
            </w:pPr>
            <w:r>
              <w:rPr>
                <w:rFonts w:ascii="Arial" w:hAnsi="Arial" w:cs="Arial"/>
                <w:color w:val="000000"/>
                <w:sz w:val="20"/>
                <w:szCs w:val="20"/>
                <w:lang w:eastAsia="zh-CN"/>
              </w:rPr>
              <w:t>　</w:t>
            </w:r>
          </w:p>
        </w:tc>
      </w:tr>
      <w:tr w14:paraId="598D6FA9">
        <w:tblPrEx>
          <w:tblCellMar>
            <w:top w:w="0" w:type="dxa"/>
            <w:left w:w="108" w:type="dxa"/>
            <w:bottom w:w="0" w:type="dxa"/>
            <w:right w:w="108" w:type="dxa"/>
          </w:tblCellMar>
        </w:tblPrEx>
        <w:trPr>
          <w:trHeight w:val="340"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6BAB2633">
            <w:pPr>
              <w:jc w:val="center"/>
              <w:outlineLvl w:val="0"/>
              <w:rPr>
                <w:rFonts w:ascii="Arial" w:hAnsi="Arial" w:cs="Arial"/>
                <w:color w:val="000000"/>
                <w:sz w:val="20"/>
                <w:szCs w:val="20"/>
                <w:lang w:eastAsia="zh-CN"/>
              </w:rPr>
            </w:pPr>
            <w:r>
              <w:rPr>
                <w:rFonts w:ascii="Arial" w:hAnsi="Arial" w:cs="Arial"/>
                <w:color w:val="000000"/>
                <w:sz w:val="20"/>
                <w:szCs w:val="20"/>
                <w:lang w:eastAsia="zh-CN"/>
              </w:rPr>
              <w:t>G</w:t>
            </w:r>
          </w:p>
        </w:tc>
        <w:tc>
          <w:tcPr>
            <w:tcW w:w="2933" w:type="dxa"/>
            <w:tcBorders>
              <w:top w:val="nil"/>
              <w:left w:val="nil"/>
              <w:bottom w:val="single" w:color="auto" w:sz="4" w:space="0"/>
              <w:right w:val="single" w:color="auto" w:sz="4" w:space="0"/>
            </w:tcBorders>
            <w:shd w:val="clear" w:color="auto" w:fill="auto"/>
            <w:vAlign w:val="center"/>
          </w:tcPr>
          <w:p w14:paraId="20967CFB">
            <w:pPr>
              <w:jc w:val="both"/>
              <w:outlineLvl w:val="0"/>
              <w:rPr>
                <w:rFonts w:ascii="Arial" w:hAnsi="Arial" w:cs="Arial"/>
                <w:color w:val="000000"/>
                <w:sz w:val="20"/>
                <w:szCs w:val="20"/>
                <w:lang w:eastAsia="zh-CN"/>
              </w:rPr>
            </w:pPr>
            <w:r>
              <w:rPr>
                <w:rFonts w:ascii="Arial" w:hAnsi="Arial" w:cs="Arial"/>
                <w:color w:val="000000"/>
                <w:sz w:val="20"/>
                <w:szCs w:val="20"/>
                <w:lang w:eastAsia="zh-CN"/>
              </w:rPr>
              <w:t>药品管理费</w:t>
            </w:r>
          </w:p>
        </w:tc>
        <w:tc>
          <w:tcPr>
            <w:tcW w:w="1356" w:type="dxa"/>
            <w:tcBorders>
              <w:top w:val="nil"/>
              <w:left w:val="nil"/>
              <w:bottom w:val="single" w:color="auto" w:sz="4" w:space="0"/>
              <w:right w:val="single" w:color="auto" w:sz="4" w:space="0"/>
            </w:tcBorders>
            <w:shd w:val="clear" w:color="auto" w:fill="auto"/>
            <w:vAlign w:val="center"/>
          </w:tcPr>
          <w:p w14:paraId="2097CD65">
            <w:pPr>
              <w:jc w:val="center"/>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75CBACF2">
            <w:pPr>
              <w:outlineLvl w:val="0"/>
              <w:rPr>
                <w:rFonts w:ascii="Arial" w:hAnsi="Arial" w:cs="Arial"/>
                <w:color w:val="FF0000"/>
                <w:sz w:val="20"/>
                <w:szCs w:val="20"/>
                <w:lang w:eastAsia="zh-CN"/>
              </w:rPr>
            </w:pPr>
            <w:r>
              <w:rPr>
                <w:rFonts w:ascii="Arial" w:hAnsi="Arial" w:cs="Arial"/>
                <w:color w:val="FF0000"/>
                <w:sz w:val="20"/>
                <w:szCs w:val="20"/>
                <w:lang w:eastAsia="zh-CN"/>
              </w:rPr>
              <w:t>　</w:t>
            </w:r>
          </w:p>
        </w:tc>
      </w:tr>
      <w:tr w14:paraId="720F2115">
        <w:tblPrEx>
          <w:tblCellMar>
            <w:top w:w="0" w:type="dxa"/>
            <w:left w:w="108" w:type="dxa"/>
            <w:bottom w:w="0" w:type="dxa"/>
            <w:right w:w="108" w:type="dxa"/>
          </w:tblCellMar>
        </w:tblPrEx>
        <w:trPr>
          <w:trHeight w:val="334"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60F4BE8B">
            <w:pPr>
              <w:jc w:val="center"/>
              <w:outlineLvl w:val="0"/>
              <w:rPr>
                <w:rFonts w:ascii="Arial" w:hAnsi="Arial" w:cs="Arial"/>
                <w:color w:val="000000"/>
                <w:sz w:val="20"/>
                <w:szCs w:val="20"/>
                <w:lang w:eastAsia="zh-CN"/>
              </w:rPr>
            </w:pPr>
            <w:r>
              <w:rPr>
                <w:rFonts w:ascii="Arial" w:hAnsi="Arial" w:cs="Arial"/>
                <w:color w:val="000000"/>
                <w:sz w:val="20"/>
                <w:szCs w:val="20"/>
                <w:lang w:eastAsia="zh-CN"/>
              </w:rPr>
              <w:t>H</w:t>
            </w:r>
          </w:p>
        </w:tc>
        <w:tc>
          <w:tcPr>
            <w:tcW w:w="2933" w:type="dxa"/>
            <w:tcBorders>
              <w:top w:val="nil"/>
              <w:left w:val="nil"/>
              <w:bottom w:val="single" w:color="auto" w:sz="4" w:space="0"/>
              <w:right w:val="single" w:color="auto" w:sz="4" w:space="0"/>
            </w:tcBorders>
            <w:shd w:val="clear" w:color="auto" w:fill="auto"/>
            <w:vAlign w:val="center"/>
          </w:tcPr>
          <w:p w14:paraId="559461E7">
            <w:pPr>
              <w:jc w:val="both"/>
              <w:outlineLvl w:val="0"/>
              <w:rPr>
                <w:rFonts w:ascii="Arial" w:hAnsi="Arial" w:cs="Arial"/>
                <w:color w:val="000000"/>
                <w:sz w:val="20"/>
                <w:szCs w:val="20"/>
                <w:lang w:eastAsia="zh-CN"/>
              </w:rPr>
            </w:pPr>
            <w:r>
              <w:rPr>
                <w:rFonts w:ascii="Arial" w:hAnsi="Arial" w:cs="Arial"/>
                <w:color w:val="000000"/>
                <w:sz w:val="20"/>
                <w:szCs w:val="20"/>
                <w:lang w:eastAsia="zh-CN"/>
              </w:rPr>
              <w:t>其他费用</w:t>
            </w:r>
          </w:p>
        </w:tc>
        <w:tc>
          <w:tcPr>
            <w:tcW w:w="1356" w:type="dxa"/>
            <w:tcBorders>
              <w:top w:val="nil"/>
              <w:left w:val="nil"/>
              <w:bottom w:val="single" w:color="auto" w:sz="4" w:space="0"/>
              <w:right w:val="single" w:color="auto" w:sz="4" w:space="0"/>
            </w:tcBorders>
            <w:shd w:val="clear" w:color="auto" w:fill="auto"/>
            <w:vAlign w:val="center"/>
          </w:tcPr>
          <w:p w14:paraId="4BF9B3AC">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40D33F91">
            <w:pPr>
              <w:outlineLvl w:val="0"/>
              <w:rPr>
                <w:rFonts w:ascii="Arial" w:hAnsi="Arial" w:cs="Arial"/>
                <w:color w:val="FF0000"/>
                <w:sz w:val="20"/>
                <w:szCs w:val="20"/>
                <w:lang w:eastAsia="zh-CN"/>
              </w:rPr>
            </w:pPr>
            <w:r>
              <w:rPr>
                <w:rFonts w:ascii="Arial" w:hAnsi="Arial" w:cs="Arial"/>
                <w:color w:val="FF0000"/>
                <w:sz w:val="20"/>
                <w:szCs w:val="20"/>
                <w:lang w:eastAsia="zh-CN"/>
              </w:rPr>
              <w:t>　</w:t>
            </w:r>
          </w:p>
        </w:tc>
      </w:tr>
      <w:tr w14:paraId="05218669">
        <w:tblPrEx>
          <w:tblCellMar>
            <w:top w:w="0" w:type="dxa"/>
            <w:left w:w="108" w:type="dxa"/>
            <w:bottom w:w="0" w:type="dxa"/>
            <w:right w:w="108" w:type="dxa"/>
          </w:tblCellMar>
        </w:tblPrEx>
        <w:trPr>
          <w:trHeight w:val="384"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7EE17AA6">
            <w:pPr>
              <w:jc w:val="center"/>
              <w:outlineLvl w:val="0"/>
              <w:rPr>
                <w:rFonts w:ascii="Arial" w:hAnsi="Arial" w:cs="Arial"/>
                <w:color w:val="000000"/>
                <w:sz w:val="20"/>
                <w:szCs w:val="20"/>
                <w:lang w:eastAsia="zh-CN"/>
              </w:rPr>
            </w:pPr>
            <w:r>
              <w:rPr>
                <w:rFonts w:ascii="Arial" w:hAnsi="Arial" w:cs="Arial"/>
                <w:color w:val="000000"/>
                <w:sz w:val="20"/>
                <w:szCs w:val="20"/>
                <w:lang w:eastAsia="zh-CN"/>
              </w:rPr>
              <w:t>I</w:t>
            </w:r>
          </w:p>
        </w:tc>
        <w:tc>
          <w:tcPr>
            <w:tcW w:w="2933" w:type="dxa"/>
            <w:tcBorders>
              <w:top w:val="nil"/>
              <w:left w:val="nil"/>
              <w:bottom w:val="single" w:color="auto" w:sz="4" w:space="0"/>
              <w:right w:val="single" w:color="auto" w:sz="4" w:space="0"/>
            </w:tcBorders>
            <w:shd w:val="clear" w:color="auto" w:fill="auto"/>
            <w:vAlign w:val="center"/>
          </w:tcPr>
          <w:p w14:paraId="364271A4">
            <w:pPr>
              <w:jc w:val="both"/>
              <w:outlineLvl w:val="0"/>
              <w:rPr>
                <w:rFonts w:ascii="Arial" w:hAnsi="Arial" w:cs="Arial"/>
                <w:color w:val="000000"/>
                <w:sz w:val="20"/>
                <w:szCs w:val="20"/>
                <w:lang w:eastAsia="zh-CN"/>
              </w:rPr>
            </w:pPr>
          </w:p>
        </w:tc>
        <w:tc>
          <w:tcPr>
            <w:tcW w:w="1356" w:type="dxa"/>
            <w:tcBorders>
              <w:top w:val="nil"/>
              <w:left w:val="nil"/>
              <w:bottom w:val="single" w:color="auto" w:sz="4" w:space="0"/>
              <w:right w:val="single" w:color="auto" w:sz="4" w:space="0"/>
            </w:tcBorders>
            <w:shd w:val="clear" w:color="auto" w:fill="auto"/>
            <w:vAlign w:val="center"/>
          </w:tcPr>
          <w:p w14:paraId="5ADD30FF">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3575EF0A">
            <w:pPr>
              <w:outlineLvl w:val="0"/>
              <w:rPr>
                <w:rFonts w:ascii="Arial" w:hAnsi="Arial" w:cs="Arial"/>
                <w:color w:val="FF0000"/>
                <w:sz w:val="20"/>
                <w:szCs w:val="20"/>
                <w:lang w:eastAsia="zh-CN"/>
              </w:rPr>
            </w:pPr>
            <w:r>
              <w:rPr>
                <w:rFonts w:ascii="Arial" w:hAnsi="Arial" w:cs="Arial"/>
                <w:color w:val="FF0000"/>
                <w:sz w:val="20"/>
                <w:szCs w:val="20"/>
                <w:lang w:eastAsia="zh-CN"/>
              </w:rPr>
              <w:t>　</w:t>
            </w:r>
          </w:p>
        </w:tc>
      </w:tr>
      <w:tr w14:paraId="683A5845">
        <w:tblPrEx>
          <w:tblCellMar>
            <w:top w:w="0" w:type="dxa"/>
            <w:left w:w="108" w:type="dxa"/>
            <w:bottom w:w="0" w:type="dxa"/>
            <w:right w:w="108" w:type="dxa"/>
          </w:tblCellMar>
        </w:tblPrEx>
        <w:trPr>
          <w:trHeight w:val="75" w:hRule="atLeast"/>
        </w:trPr>
        <w:tc>
          <w:tcPr>
            <w:tcW w:w="4381"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46C3B705">
            <w:pPr>
              <w:jc w:val="right"/>
              <w:outlineLvl w:val="0"/>
              <w:rPr>
                <w:rFonts w:ascii="Arial" w:hAnsi="Arial" w:cs="Arial"/>
                <w:b/>
                <w:bCs/>
                <w:color w:val="000000"/>
                <w:sz w:val="20"/>
                <w:szCs w:val="20"/>
                <w:lang w:eastAsia="zh-CN"/>
              </w:rPr>
            </w:pPr>
            <w:r>
              <w:rPr>
                <w:rFonts w:hint="eastAsia" w:ascii="宋体" w:hAnsi="宋体" w:cs="Arial"/>
                <w:b/>
                <w:bCs/>
                <w:color w:val="000000"/>
                <w:sz w:val="20"/>
                <w:szCs w:val="20"/>
                <w:lang w:eastAsia="zh-CN"/>
              </w:rPr>
              <w:t>机构费用合计</w:t>
            </w:r>
          </w:p>
        </w:tc>
        <w:tc>
          <w:tcPr>
            <w:tcW w:w="1356" w:type="dxa"/>
            <w:tcBorders>
              <w:top w:val="nil"/>
              <w:left w:val="nil"/>
              <w:bottom w:val="single" w:color="auto" w:sz="4" w:space="0"/>
              <w:right w:val="single" w:color="auto" w:sz="4" w:space="0"/>
            </w:tcBorders>
            <w:shd w:val="clear" w:color="000000" w:fill="FFFFFF"/>
            <w:vAlign w:val="center"/>
          </w:tcPr>
          <w:p w14:paraId="356847C4">
            <w:pPr>
              <w:jc w:val="right"/>
              <w:outlineLvl w:val="0"/>
              <w:rPr>
                <w:rFonts w:ascii="Arial" w:hAnsi="Arial" w:cs="Arial"/>
                <w:b/>
                <w:bCs/>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000000" w:fill="FFFFFF"/>
            <w:vAlign w:val="center"/>
          </w:tcPr>
          <w:p w14:paraId="62CC01D6">
            <w:pPr>
              <w:outlineLvl w:val="0"/>
              <w:rPr>
                <w:rFonts w:ascii="Arial" w:hAnsi="Arial" w:cs="Arial"/>
                <w:color w:val="000000"/>
                <w:sz w:val="20"/>
                <w:szCs w:val="20"/>
                <w:lang w:eastAsia="zh-CN"/>
              </w:rPr>
            </w:pPr>
          </w:p>
        </w:tc>
      </w:tr>
      <w:tr w14:paraId="565C2575">
        <w:tblPrEx>
          <w:tblCellMar>
            <w:top w:w="0" w:type="dxa"/>
            <w:left w:w="108" w:type="dxa"/>
            <w:bottom w:w="0" w:type="dxa"/>
            <w:right w:w="108" w:type="dxa"/>
          </w:tblCellMar>
        </w:tblPrEx>
        <w:trPr>
          <w:trHeight w:val="96" w:hRule="atLeast"/>
        </w:trPr>
        <w:tc>
          <w:tcPr>
            <w:tcW w:w="4381"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6576BB8F">
            <w:pPr>
              <w:jc w:val="right"/>
              <w:outlineLvl w:val="0"/>
              <w:rPr>
                <w:rFonts w:ascii="Arial" w:hAnsi="Arial" w:cs="Arial"/>
                <w:b/>
                <w:bCs/>
                <w:color w:val="000000"/>
                <w:sz w:val="20"/>
                <w:szCs w:val="20"/>
                <w:lang w:eastAsia="zh-CN"/>
              </w:rPr>
            </w:pPr>
            <w:r>
              <w:rPr>
                <w:rFonts w:ascii="Arial" w:hAnsi="Arial" w:cs="Arial"/>
                <w:b/>
                <w:bCs/>
                <w:color w:val="000000"/>
                <w:sz w:val="20"/>
                <w:szCs w:val="20"/>
                <w:lang w:eastAsia="zh-CN"/>
              </w:rPr>
              <w:t>机构管理费（</w:t>
            </w:r>
            <w:r>
              <w:rPr>
                <w:rFonts w:hint="eastAsia" w:ascii="Arial" w:hAnsi="Arial" w:cs="Arial"/>
                <w:b/>
                <w:bCs/>
                <w:color w:val="000000"/>
                <w:sz w:val="20"/>
                <w:szCs w:val="20"/>
                <w:lang w:val="en-US" w:eastAsia="zh-CN"/>
              </w:rPr>
              <w:t>机构费用合计*</w:t>
            </w:r>
            <w:r>
              <w:rPr>
                <w:rFonts w:ascii="Arial" w:hAnsi="Arial" w:cs="Arial"/>
                <w:b/>
                <w:bCs/>
                <w:color w:val="000000"/>
                <w:sz w:val="20"/>
                <w:szCs w:val="20"/>
                <w:lang w:eastAsia="zh-CN"/>
              </w:rPr>
              <w:t>15%）</w:t>
            </w:r>
          </w:p>
        </w:tc>
        <w:tc>
          <w:tcPr>
            <w:tcW w:w="1356" w:type="dxa"/>
            <w:tcBorders>
              <w:top w:val="nil"/>
              <w:left w:val="nil"/>
              <w:bottom w:val="single" w:color="auto" w:sz="4" w:space="0"/>
              <w:right w:val="single" w:color="auto" w:sz="4" w:space="0"/>
            </w:tcBorders>
            <w:shd w:val="clear" w:color="000000" w:fill="FFFFFF"/>
            <w:vAlign w:val="center"/>
          </w:tcPr>
          <w:p w14:paraId="2FED82C3">
            <w:pPr>
              <w:jc w:val="right"/>
              <w:outlineLvl w:val="0"/>
              <w:rPr>
                <w:rFonts w:ascii="Arial" w:hAnsi="Arial" w:cs="Arial"/>
                <w:b/>
                <w:bCs/>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000000" w:fill="FFFFFF"/>
            <w:vAlign w:val="center"/>
          </w:tcPr>
          <w:p w14:paraId="4D18595E">
            <w:pPr>
              <w:outlineLvl w:val="0"/>
              <w:rPr>
                <w:rFonts w:ascii="Arial" w:hAnsi="Arial" w:cs="Arial"/>
                <w:color w:val="000000"/>
                <w:sz w:val="20"/>
                <w:szCs w:val="20"/>
                <w:lang w:eastAsia="zh-CN"/>
              </w:rPr>
            </w:pPr>
          </w:p>
        </w:tc>
      </w:tr>
      <w:tr w14:paraId="08CB26D2">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63705A8A">
            <w:pPr>
              <w:jc w:val="right"/>
              <w:outlineLvl w:val="0"/>
              <w:rPr>
                <w:rFonts w:ascii="Arial" w:hAnsi="Arial" w:cs="Arial"/>
                <w:b/>
                <w:bCs/>
                <w:color w:val="000000"/>
                <w:sz w:val="20"/>
                <w:szCs w:val="20"/>
                <w:lang w:eastAsia="zh-CN"/>
              </w:rPr>
            </w:pPr>
            <w:r>
              <w:rPr>
                <w:rFonts w:ascii="Arial" w:hAnsi="Arial" w:cs="Arial"/>
                <w:b/>
                <w:bCs/>
                <w:color w:val="000000"/>
                <w:sz w:val="20"/>
                <w:szCs w:val="20"/>
                <w:lang w:eastAsia="zh-CN"/>
              </w:rPr>
              <w:t>机构税费（</w:t>
            </w:r>
            <w:r>
              <w:rPr>
                <w:rFonts w:hint="eastAsia" w:ascii="Arial" w:hAnsi="Arial" w:cs="Arial"/>
                <w:b/>
                <w:bCs/>
                <w:color w:val="000000"/>
                <w:sz w:val="20"/>
                <w:szCs w:val="20"/>
                <w:lang w:val="en-US" w:eastAsia="zh-CN"/>
              </w:rPr>
              <w:t>1</w:t>
            </w:r>
            <w:r>
              <w:rPr>
                <w:rFonts w:ascii="Arial" w:hAnsi="Arial" w:cs="Arial"/>
                <w:b/>
                <w:bCs/>
                <w:color w:val="000000"/>
                <w:sz w:val="20"/>
                <w:szCs w:val="20"/>
                <w:lang w:eastAsia="zh-CN"/>
              </w:rPr>
              <w:t>.</w:t>
            </w:r>
            <w:r>
              <w:rPr>
                <w:rFonts w:hint="eastAsia" w:ascii="Arial" w:hAnsi="Arial" w:cs="Arial"/>
                <w:b/>
                <w:bCs/>
                <w:color w:val="000000"/>
                <w:sz w:val="20"/>
                <w:szCs w:val="20"/>
                <w:lang w:val="en-US" w:eastAsia="zh-CN"/>
              </w:rPr>
              <w:t>05</w:t>
            </w:r>
            <w:r>
              <w:rPr>
                <w:rFonts w:ascii="Arial" w:hAnsi="Arial" w:cs="Arial"/>
                <w:b/>
                <w:bCs/>
                <w:color w:val="000000"/>
                <w:sz w:val="20"/>
                <w:szCs w:val="20"/>
                <w:lang w:eastAsia="zh-CN"/>
              </w:rPr>
              <w:t>%）</w:t>
            </w:r>
          </w:p>
        </w:tc>
        <w:tc>
          <w:tcPr>
            <w:tcW w:w="1356" w:type="dxa"/>
            <w:tcBorders>
              <w:top w:val="nil"/>
              <w:left w:val="nil"/>
              <w:bottom w:val="single" w:color="auto" w:sz="4" w:space="0"/>
              <w:right w:val="single" w:color="auto" w:sz="4" w:space="0"/>
            </w:tcBorders>
            <w:shd w:val="clear" w:color="000000" w:fill="FFFFFF"/>
            <w:vAlign w:val="center"/>
          </w:tcPr>
          <w:p w14:paraId="7203C915">
            <w:pPr>
              <w:jc w:val="right"/>
              <w:outlineLvl w:val="0"/>
              <w:rPr>
                <w:rFonts w:ascii="Arial" w:hAnsi="Arial" w:cs="Arial"/>
                <w:b/>
                <w:bCs/>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000000" w:fill="FFFFFF"/>
            <w:vAlign w:val="center"/>
          </w:tcPr>
          <w:p w14:paraId="4B3A7BEF">
            <w:pPr>
              <w:outlineLvl w:val="0"/>
              <w:rPr>
                <w:rFonts w:ascii="Arial" w:hAnsi="Arial" w:cs="Arial"/>
                <w:color w:val="000000"/>
                <w:sz w:val="20"/>
                <w:szCs w:val="20"/>
                <w:lang w:eastAsia="zh-CN"/>
              </w:rPr>
            </w:pPr>
          </w:p>
        </w:tc>
      </w:tr>
      <w:tr w14:paraId="3C39EAD6">
        <w:tblPrEx>
          <w:tblCellMar>
            <w:top w:w="0" w:type="dxa"/>
            <w:left w:w="108" w:type="dxa"/>
            <w:bottom w:w="0" w:type="dxa"/>
            <w:right w:w="108" w:type="dxa"/>
          </w:tblCellMar>
        </w:tblPrEx>
        <w:trPr>
          <w:trHeight w:val="107" w:hRule="atLeast"/>
        </w:trPr>
        <w:tc>
          <w:tcPr>
            <w:tcW w:w="4381"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79ABE4CE">
            <w:pPr>
              <w:jc w:val="right"/>
              <w:outlineLvl w:val="0"/>
              <w:rPr>
                <w:rFonts w:ascii="Arial" w:hAnsi="Arial" w:cs="Arial"/>
                <w:b/>
                <w:bCs/>
                <w:color w:val="000000"/>
                <w:sz w:val="20"/>
                <w:szCs w:val="20"/>
                <w:lang w:eastAsia="zh-CN"/>
              </w:rPr>
            </w:pPr>
            <w:r>
              <w:rPr>
                <w:rFonts w:ascii="Arial" w:hAnsi="Arial" w:cs="Arial"/>
                <w:b/>
                <w:bCs/>
                <w:color w:val="000000"/>
                <w:sz w:val="20"/>
                <w:szCs w:val="20"/>
                <w:highlight w:val="none"/>
                <w:lang w:eastAsia="zh-CN"/>
              </w:rPr>
              <w:t>总计</w:t>
            </w:r>
          </w:p>
        </w:tc>
        <w:tc>
          <w:tcPr>
            <w:tcW w:w="1356" w:type="dxa"/>
            <w:tcBorders>
              <w:top w:val="nil"/>
              <w:left w:val="nil"/>
              <w:bottom w:val="single" w:color="auto" w:sz="4" w:space="0"/>
              <w:right w:val="single" w:color="auto" w:sz="4" w:space="0"/>
            </w:tcBorders>
            <w:shd w:val="clear" w:color="000000" w:fill="FFFFFF"/>
            <w:vAlign w:val="center"/>
          </w:tcPr>
          <w:p w14:paraId="30077DB4">
            <w:pPr>
              <w:jc w:val="right"/>
              <w:outlineLvl w:val="0"/>
              <w:rPr>
                <w:rFonts w:ascii="Arial" w:hAnsi="Arial" w:cs="Arial"/>
                <w:b/>
                <w:bCs/>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000000" w:fill="FFFFFF"/>
            <w:vAlign w:val="center"/>
          </w:tcPr>
          <w:p w14:paraId="171338A0">
            <w:pPr>
              <w:outlineLvl w:val="0"/>
              <w:rPr>
                <w:rFonts w:ascii="宋体" w:hAnsi="宋体" w:cs="宋体"/>
                <w:color w:val="000000"/>
                <w:sz w:val="20"/>
                <w:szCs w:val="20"/>
                <w:lang w:eastAsia="zh-CN"/>
              </w:rPr>
            </w:pPr>
          </w:p>
        </w:tc>
      </w:tr>
      <w:tr w14:paraId="5D961D21">
        <w:tblPrEx>
          <w:tblCellMar>
            <w:top w:w="0" w:type="dxa"/>
            <w:left w:w="108" w:type="dxa"/>
            <w:bottom w:w="0" w:type="dxa"/>
            <w:right w:w="108" w:type="dxa"/>
          </w:tblCellMar>
        </w:tblPrEx>
        <w:trPr>
          <w:trHeight w:val="480" w:hRule="atLeast"/>
        </w:trPr>
        <w:tc>
          <w:tcPr>
            <w:tcW w:w="8591" w:type="dxa"/>
            <w:gridSpan w:val="7"/>
            <w:tcBorders>
              <w:top w:val="single" w:color="auto" w:sz="4" w:space="0"/>
              <w:left w:val="single" w:color="auto" w:sz="4" w:space="0"/>
              <w:bottom w:val="nil"/>
              <w:right w:val="single" w:color="000000" w:sz="4" w:space="0"/>
            </w:tcBorders>
            <w:shd w:val="clear" w:color="auto" w:fill="auto"/>
            <w:vAlign w:val="center"/>
          </w:tcPr>
          <w:p w14:paraId="18082A77">
            <w:pPr>
              <w:rPr>
                <w:rFonts w:ascii="Arial" w:hAnsi="Arial" w:cs="Arial"/>
                <w:color w:val="000000"/>
                <w:sz w:val="20"/>
                <w:szCs w:val="20"/>
                <w:lang w:eastAsia="zh-CN"/>
              </w:rPr>
            </w:pPr>
            <w:r>
              <w:rPr>
                <w:rFonts w:ascii="Arial" w:hAnsi="Arial" w:eastAsia="宋体" w:cs="Arial"/>
                <w:color w:val="000000"/>
                <w:sz w:val="20"/>
                <w:szCs w:val="20"/>
                <w:lang w:val="en-US" w:eastAsia="zh-CN" w:bidi="ar-SA"/>
              </w:rPr>
              <w:t>*</w:t>
            </w:r>
            <w:r>
              <w:rPr>
                <w:rFonts w:hint="eastAsia" w:ascii="Arial" w:hAnsi="Arial" w:eastAsia="宋体" w:cs="Arial"/>
                <w:color w:val="000000"/>
                <w:sz w:val="20"/>
                <w:szCs w:val="20"/>
                <w:lang w:val="en-US" w:eastAsia="zh-CN" w:bidi="ar-SA"/>
              </w:rPr>
              <w:t>对于参加临床试验的受试者的影像学刻盘资料，需要脱敏刻盘，除上传至</w:t>
            </w:r>
            <w:r>
              <w:rPr>
                <w:rFonts w:hint="eastAsia" w:ascii="Arial" w:hAnsi="Arial" w:cs="Arial"/>
                <w:color w:val="000000"/>
                <w:sz w:val="20"/>
                <w:szCs w:val="20"/>
                <w:lang w:val="en-US" w:eastAsia="zh-CN" w:bidi="ar-SA"/>
              </w:rPr>
              <w:t>申办者</w:t>
            </w:r>
            <w:r>
              <w:rPr>
                <w:rFonts w:hint="eastAsia" w:ascii="Arial" w:hAnsi="Arial" w:eastAsia="宋体" w:cs="Arial"/>
                <w:color w:val="000000"/>
                <w:sz w:val="20"/>
                <w:szCs w:val="20"/>
                <w:lang w:val="en-US" w:eastAsia="zh-CN" w:bidi="ar-SA"/>
              </w:rPr>
              <w:t>指定的第三方IRC进行审阅外,未经乙方书面同意，不得将影像刻盘资料以电子或光盘形式外传。</w:t>
            </w:r>
          </w:p>
        </w:tc>
      </w:tr>
      <w:tr w14:paraId="59E23CBF">
        <w:tblPrEx>
          <w:tblCellMar>
            <w:top w:w="0" w:type="dxa"/>
            <w:left w:w="108" w:type="dxa"/>
            <w:bottom w:w="0" w:type="dxa"/>
            <w:right w:w="108" w:type="dxa"/>
          </w:tblCellMar>
        </w:tblPrEx>
        <w:trPr>
          <w:trHeight w:val="399" w:hRule="atLeast"/>
        </w:trPr>
        <w:tc>
          <w:tcPr>
            <w:tcW w:w="8591" w:type="dxa"/>
            <w:gridSpan w:val="7"/>
            <w:tcBorders>
              <w:top w:val="nil"/>
              <w:left w:val="single" w:color="auto" w:sz="4" w:space="0"/>
              <w:bottom w:val="single" w:color="auto" w:sz="4" w:space="0"/>
              <w:right w:val="single" w:color="000000" w:sz="4" w:space="0"/>
            </w:tcBorders>
            <w:shd w:val="clear" w:color="auto" w:fill="auto"/>
            <w:vAlign w:val="center"/>
          </w:tcPr>
          <w:p w14:paraId="7B64AFB2">
            <w:pPr>
              <w:rPr>
                <w:rFonts w:ascii="Arial" w:hAnsi="Arial" w:cs="Arial"/>
                <w:color w:val="000000"/>
                <w:sz w:val="20"/>
                <w:szCs w:val="20"/>
                <w:lang w:eastAsia="zh-CN"/>
              </w:rPr>
            </w:pPr>
            <w:r>
              <w:rPr>
                <w:rFonts w:ascii="Arial" w:hAnsi="Arial" w:cs="Arial"/>
                <w:color w:val="000000"/>
                <w:sz w:val="20"/>
                <w:szCs w:val="20"/>
                <w:lang w:eastAsia="zh-CN"/>
              </w:rPr>
              <w:t>#筛选失败临床评估一例人民币</w:t>
            </w:r>
            <w:r>
              <w:rPr>
                <w:rFonts w:hint="eastAsia" w:ascii="Arial" w:hAnsi="Arial" w:cs="Arial"/>
                <w:color w:val="000000"/>
                <w:sz w:val="20"/>
                <w:szCs w:val="20"/>
                <w:lang w:val="en-US" w:eastAsia="zh-CN"/>
              </w:rPr>
              <w:t>XXX</w:t>
            </w:r>
            <w:r>
              <w:rPr>
                <w:rFonts w:ascii="Arial" w:hAnsi="Arial" w:cs="Arial"/>
                <w:color w:val="000000"/>
                <w:sz w:val="20"/>
                <w:szCs w:val="20"/>
                <w:lang w:eastAsia="zh-CN"/>
              </w:rPr>
              <w:t>元，筛选失败人数不超过总数的25%（签署主知情受试者）。实验室检查费用按照实际结算。</w:t>
            </w:r>
          </w:p>
        </w:tc>
      </w:tr>
      <w:tr w14:paraId="195F253F">
        <w:tblPrEx>
          <w:tblCellMar>
            <w:top w:w="0" w:type="dxa"/>
            <w:left w:w="108" w:type="dxa"/>
            <w:bottom w:w="0" w:type="dxa"/>
            <w:right w:w="108" w:type="dxa"/>
          </w:tblCellMar>
        </w:tblPrEx>
        <w:trPr>
          <w:trHeight w:val="535" w:hRule="atLeast"/>
        </w:trPr>
        <w:tc>
          <w:tcPr>
            <w:tcW w:w="7126" w:type="dxa"/>
            <w:gridSpan w:val="6"/>
            <w:tcBorders>
              <w:top w:val="nil"/>
              <w:left w:val="nil"/>
              <w:bottom w:val="single" w:color="auto" w:sz="4" w:space="0"/>
              <w:right w:val="nil"/>
            </w:tcBorders>
            <w:shd w:val="clear" w:color="000000" w:fill="FFFFFF"/>
            <w:vAlign w:val="center"/>
          </w:tcPr>
          <w:p w14:paraId="266288DB">
            <w:pPr>
              <w:rPr>
                <w:rFonts w:ascii="Arial" w:hAnsi="Arial" w:cs="Arial"/>
                <w:b/>
                <w:bCs/>
                <w:lang w:eastAsia="zh-CN"/>
              </w:rPr>
            </w:pPr>
            <w:r>
              <w:rPr>
                <w:rFonts w:hint="eastAsia" w:ascii="微软雅黑" w:hAnsi="微软雅黑" w:eastAsia="微软雅黑" w:cs="Arial"/>
                <w:b/>
                <w:bCs/>
                <w:lang w:eastAsia="zh-CN"/>
              </w:rPr>
              <w:t>付款计划表</w:t>
            </w:r>
          </w:p>
        </w:tc>
        <w:tc>
          <w:tcPr>
            <w:tcW w:w="1465" w:type="dxa"/>
            <w:tcBorders>
              <w:top w:val="nil"/>
              <w:left w:val="nil"/>
              <w:bottom w:val="nil"/>
              <w:right w:val="nil"/>
            </w:tcBorders>
            <w:shd w:val="clear" w:color="auto" w:fill="auto"/>
            <w:noWrap/>
            <w:vAlign w:val="center"/>
          </w:tcPr>
          <w:p w14:paraId="038ED8CC">
            <w:pPr>
              <w:rPr>
                <w:rFonts w:ascii="Arial" w:hAnsi="Arial" w:cs="Arial"/>
                <w:b/>
                <w:bCs/>
                <w:lang w:eastAsia="zh-CN"/>
              </w:rPr>
            </w:pPr>
          </w:p>
        </w:tc>
      </w:tr>
      <w:tr w14:paraId="5A125C29">
        <w:tblPrEx>
          <w:tblCellMar>
            <w:top w:w="0" w:type="dxa"/>
            <w:left w:w="108" w:type="dxa"/>
            <w:bottom w:w="0" w:type="dxa"/>
            <w:right w:w="108" w:type="dxa"/>
          </w:tblCellMar>
        </w:tblPrEx>
        <w:trPr>
          <w:trHeight w:val="645" w:hRule="atLeast"/>
        </w:trPr>
        <w:tc>
          <w:tcPr>
            <w:tcW w:w="1448" w:type="dxa"/>
            <w:tcBorders>
              <w:top w:val="nil"/>
              <w:left w:val="single" w:color="auto" w:sz="4" w:space="0"/>
              <w:bottom w:val="single" w:color="auto" w:sz="4" w:space="0"/>
              <w:right w:val="single" w:color="auto" w:sz="4" w:space="0"/>
            </w:tcBorders>
            <w:shd w:val="clear" w:color="000000" w:fill="D9D9D9"/>
            <w:noWrap/>
            <w:vAlign w:val="center"/>
          </w:tcPr>
          <w:p w14:paraId="7A7531E2">
            <w:pPr>
              <w:jc w:val="center"/>
              <w:rPr>
                <w:rFonts w:ascii="Arial" w:hAnsi="Arial" w:cs="Arial"/>
                <w:b/>
                <w:bCs/>
                <w:sz w:val="20"/>
                <w:szCs w:val="20"/>
                <w:lang w:eastAsia="zh-CN"/>
              </w:rPr>
            </w:pPr>
            <w:r>
              <w:rPr>
                <w:rFonts w:hint="eastAsia" w:ascii="微软雅黑" w:hAnsi="微软雅黑" w:eastAsia="微软雅黑" w:cs="Arial"/>
                <w:b/>
                <w:bCs/>
                <w:sz w:val="20"/>
                <w:szCs w:val="20"/>
                <w:lang w:eastAsia="zh-CN"/>
              </w:rPr>
              <w:t>付款次数</w:t>
            </w:r>
          </w:p>
        </w:tc>
        <w:tc>
          <w:tcPr>
            <w:tcW w:w="2933" w:type="dxa"/>
            <w:tcBorders>
              <w:top w:val="nil"/>
              <w:left w:val="nil"/>
              <w:bottom w:val="single" w:color="auto" w:sz="4" w:space="0"/>
              <w:right w:val="single" w:color="auto" w:sz="4" w:space="0"/>
            </w:tcBorders>
            <w:shd w:val="clear" w:color="000000" w:fill="D9D9D9"/>
            <w:noWrap/>
            <w:vAlign w:val="center"/>
          </w:tcPr>
          <w:p w14:paraId="27734F2D">
            <w:pPr>
              <w:jc w:val="center"/>
              <w:rPr>
                <w:rFonts w:ascii="Arial" w:hAnsi="Arial" w:cs="Arial"/>
                <w:b/>
                <w:bCs/>
                <w:sz w:val="20"/>
                <w:szCs w:val="20"/>
                <w:lang w:eastAsia="zh-CN"/>
              </w:rPr>
            </w:pPr>
            <w:r>
              <w:rPr>
                <w:rFonts w:hint="eastAsia" w:ascii="微软雅黑" w:hAnsi="微软雅黑" w:eastAsia="微软雅黑" w:cs="Arial"/>
                <w:b/>
                <w:bCs/>
                <w:sz w:val="20"/>
                <w:szCs w:val="20"/>
                <w:lang w:eastAsia="zh-CN"/>
              </w:rPr>
              <w:t>付款计划</w:t>
            </w:r>
          </w:p>
        </w:tc>
        <w:tc>
          <w:tcPr>
            <w:tcW w:w="1356"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486B7C7D">
            <w:pPr>
              <w:jc w:val="center"/>
              <w:rPr>
                <w:rFonts w:ascii="Arial" w:hAnsi="Arial" w:cs="Arial"/>
                <w:b/>
                <w:bCs/>
                <w:sz w:val="20"/>
                <w:szCs w:val="20"/>
                <w:lang w:eastAsia="zh-CN"/>
              </w:rPr>
            </w:pPr>
            <w:r>
              <w:rPr>
                <w:rFonts w:hint="eastAsia" w:ascii="微软雅黑" w:hAnsi="微软雅黑" w:eastAsia="微软雅黑" w:cs="Arial"/>
                <w:b/>
                <w:bCs/>
                <w:sz w:val="20"/>
                <w:szCs w:val="20"/>
                <w:lang w:eastAsia="zh-CN"/>
              </w:rPr>
              <w:t>付款金额</w:t>
            </w:r>
          </w:p>
        </w:tc>
        <w:tc>
          <w:tcPr>
            <w:tcW w:w="2854" w:type="dxa"/>
            <w:gridSpan w:val="4"/>
            <w:tcBorders>
              <w:top w:val="single" w:color="auto" w:sz="4" w:space="0"/>
              <w:left w:val="nil"/>
              <w:bottom w:val="single" w:color="auto" w:sz="4" w:space="0"/>
              <w:right w:val="single" w:color="auto" w:sz="4" w:space="0"/>
            </w:tcBorders>
            <w:shd w:val="clear" w:color="000000" w:fill="D9D9D9"/>
            <w:noWrap/>
            <w:vAlign w:val="center"/>
          </w:tcPr>
          <w:p w14:paraId="21F4BB05">
            <w:pPr>
              <w:jc w:val="center"/>
              <w:rPr>
                <w:rFonts w:ascii="Arial" w:hAnsi="Arial" w:cs="Arial"/>
                <w:b/>
                <w:bCs/>
                <w:sz w:val="20"/>
                <w:szCs w:val="20"/>
                <w:lang w:eastAsia="zh-CN"/>
              </w:rPr>
            </w:pPr>
            <w:r>
              <w:rPr>
                <w:rFonts w:hint="eastAsia" w:ascii="微软雅黑" w:hAnsi="微软雅黑" w:eastAsia="微软雅黑" w:cs="Arial"/>
                <w:b/>
                <w:bCs/>
                <w:sz w:val="20"/>
                <w:szCs w:val="20"/>
                <w:lang w:eastAsia="zh-CN"/>
              </w:rPr>
              <w:t>付款比例</w:t>
            </w:r>
          </w:p>
        </w:tc>
      </w:tr>
      <w:tr w14:paraId="2CA1D53D">
        <w:tblPrEx>
          <w:tblCellMar>
            <w:top w:w="0" w:type="dxa"/>
            <w:left w:w="108" w:type="dxa"/>
            <w:bottom w:w="0" w:type="dxa"/>
            <w:right w:w="108" w:type="dxa"/>
          </w:tblCellMar>
        </w:tblPrEx>
        <w:trPr>
          <w:trHeight w:val="359"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7C06D046">
            <w:pPr>
              <w:jc w:val="center"/>
              <w:rPr>
                <w:rFonts w:ascii="Arial" w:hAnsi="Arial" w:cs="Arial"/>
                <w:color w:val="000000"/>
                <w:sz w:val="20"/>
                <w:szCs w:val="20"/>
                <w:lang w:eastAsia="zh-CN"/>
              </w:rPr>
            </w:pPr>
            <w:r>
              <w:rPr>
                <w:rFonts w:ascii="Arial" w:hAnsi="Arial" w:cs="Arial"/>
                <w:color w:val="000000"/>
                <w:sz w:val="20"/>
                <w:szCs w:val="20"/>
                <w:lang w:eastAsia="zh-CN"/>
              </w:rPr>
              <w:t>1</w:t>
            </w:r>
          </w:p>
        </w:tc>
        <w:tc>
          <w:tcPr>
            <w:tcW w:w="2933" w:type="dxa"/>
            <w:tcBorders>
              <w:top w:val="nil"/>
              <w:left w:val="nil"/>
              <w:bottom w:val="single" w:color="auto" w:sz="4" w:space="0"/>
              <w:right w:val="single" w:color="auto" w:sz="4" w:space="0"/>
            </w:tcBorders>
            <w:shd w:val="clear" w:color="000000" w:fill="FFFFFF"/>
            <w:noWrap/>
            <w:vAlign w:val="center"/>
          </w:tcPr>
          <w:p w14:paraId="19C0A1F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合同签订后10日内</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36195E50">
            <w:pPr>
              <w:keepNext w:val="0"/>
              <w:keepLines w:val="0"/>
              <w:pageBreakBefore w:val="0"/>
              <w:widowControl w:val="0"/>
              <w:kinsoku/>
              <w:wordWrap/>
              <w:overflowPunct/>
              <w:topLinePunct w:val="0"/>
              <w:autoSpaceDE/>
              <w:autoSpaceDN/>
              <w:bidi w:val="0"/>
              <w:adjustRightInd/>
              <w:snapToGrid/>
              <w:jc w:val="right"/>
              <w:textAlignment w:val="auto"/>
              <w:rPr>
                <w:rFonts w:ascii="Arial" w:hAnsi="Arial" w:cs="Arial"/>
                <w:color w:val="000000"/>
                <w:sz w:val="20"/>
                <w:szCs w:val="20"/>
                <w:lang w:eastAsia="zh-CN"/>
              </w:rPr>
            </w:pPr>
            <w:r>
              <w:rPr>
                <w:rFonts w:ascii="Arial" w:hAnsi="Arial" w:cs="Arial"/>
                <w:color w:val="000000"/>
                <w:sz w:val="20"/>
                <w:szCs w:val="20"/>
              </w:rPr>
              <w:t xml:space="preserve"> </w:t>
            </w:r>
          </w:p>
        </w:tc>
        <w:tc>
          <w:tcPr>
            <w:tcW w:w="2854" w:type="dxa"/>
            <w:gridSpan w:val="4"/>
            <w:tcBorders>
              <w:top w:val="nil"/>
              <w:left w:val="nil"/>
              <w:bottom w:val="single" w:color="auto" w:sz="4" w:space="0"/>
              <w:right w:val="single" w:color="auto" w:sz="4" w:space="0"/>
            </w:tcBorders>
            <w:shd w:val="clear" w:color="auto" w:fill="auto"/>
            <w:noWrap/>
            <w:vAlign w:val="center"/>
          </w:tcPr>
          <w:p w14:paraId="4101AAB2">
            <w:pPr>
              <w:jc w:val="center"/>
              <w:rPr>
                <w:rFonts w:ascii="Arial" w:hAnsi="Arial" w:cs="Arial"/>
                <w:color w:val="000000"/>
                <w:sz w:val="20"/>
                <w:szCs w:val="20"/>
                <w:lang w:eastAsia="zh-CN"/>
              </w:rPr>
            </w:pPr>
            <w:r>
              <w:rPr>
                <w:rFonts w:hint="eastAsia" w:ascii="Arial" w:hAnsi="Arial" w:cs="Arial"/>
                <w:color w:val="000000"/>
                <w:sz w:val="20"/>
                <w:szCs w:val="20"/>
                <w:lang w:val="en-US" w:eastAsia="zh-CN"/>
              </w:rPr>
              <w:t>2</w:t>
            </w:r>
            <w:r>
              <w:rPr>
                <w:rFonts w:ascii="Arial" w:hAnsi="Arial" w:cs="Arial"/>
                <w:color w:val="000000"/>
                <w:sz w:val="20"/>
                <w:szCs w:val="20"/>
                <w:lang w:eastAsia="zh-CN"/>
              </w:rPr>
              <w:t>0.00%</w:t>
            </w:r>
          </w:p>
        </w:tc>
      </w:tr>
      <w:tr w14:paraId="6F697F45">
        <w:tblPrEx>
          <w:tblCellMar>
            <w:top w:w="0" w:type="dxa"/>
            <w:left w:w="108" w:type="dxa"/>
            <w:bottom w:w="0" w:type="dxa"/>
            <w:right w:w="108" w:type="dxa"/>
          </w:tblCellMar>
        </w:tblPrEx>
        <w:trPr>
          <w:trHeight w:val="285"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31E0D168">
            <w:pPr>
              <w:jc w:val="center"/>
              <w:rPr>
                <w:rFonts w:ascii="Arial" w:hAnsi="Arial" w:cs="Arial"/>
                <w:color w:val="000000"/>
                <w:sz w:val="20"/>
                <w:szCs w:val="20"/>
                <w:lang w:eastAsia="zh-CN"/>
              </w:rPr>
            </w:pPr>
            <w:r>
              <w:rPr>
                <w:rFonts w:ascii="Arial" w:hAnsi="Arial" w:cs="Arial"/>
                <w:color w:val="000000"/>
                <w:sz w:val="20"/>
                <w:szCs w:val="20"/>
                <w:lang w:eastAsia="zh-CN"/>
              </w:rPr>
              <w:t>2</w:t>
            </w:r>
          </w:p>
        </w:tc>
        <w:tc>
          <w:tcPr>
            <w:tcW w:w="2933" w:type="dxa"/>
            <w:tcBorders>
              <w:top w:val="nil"/>
              <w:left w:val="nil"/>
              <w:bottom w:val="single" w:color="auto" w:sz="4" w:space="0"/>
              <w:right w:val="single" w:color="auto" w:sz="4" w:space="0"/>
            </w:tcBorders>
            <w:shd w:val="clear" w:color="auto" w:fill="auto"/>
            <w:noWrap/>
            <w:vAlign w:val="center"/>
          </w:tcPr>
          <w:p w14:paraId="54A26550">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首例入组</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02623564">
            <w:pPr>
              <w:keepNext w:val="0"/>
              <w:keepLines w:val="0"/>
              <w:pageBreakBefore w:val="0"/>
              <w:widowControl w:val="0"/>
              <w:kinsoku/>
              <w:wordWrap/>
              <w:overflowPunct/>
              <w:topLinePunct w:val="0"/>
              <w:autoSpaceDE/>
              <w:autoSpaceDN/>
              <w:bidi w:val="0"/>
              <w:adjustRightInd/>
              <w:snapToGrid/>
              <w:jc w:val="both"/>
              <w:textAlignment w:val="auto"/>
              <w:rPr>
                <w:rFonts w:ascii="Arial" w:hAnsi="Arial" w:cs="Arial"/>
                <w:color w:val="000000"/>
                <w:sz w:val="20"/>
                <w:szCs w:val="20"/>
                <w:lang w:eastAsia="zh-CN"/>
              </w:rPr>
            </w:pPr>
            <w:r>
              <w:rPr>
                <w:rFonts w:ascii="Arial" w:hAnsi="Arial" w:cs="Arial"/>
                <w:color w:val="000000"/>
                <w:sz w:val="20"/>
                <w:szCs w:val="20"/>
              </w:rPr>
              <w:t xml:space="preserve"> </w:t>
            </w:r>
          </w:p>
        </w:tc>
        <w:tc>
          <w:tcPr>
            <w:tcW w:w="2854" w:type="dxa"/>
            <w:gridSpan w:val="4"/>
            <w:tcBorders>
              <w:top w:val="nil"/>
              <w:left w:val="nil"/>
              <w:bottom w:val="single" w:color="auto" w:sz="4" w:space="0"/>
              <w:right w:val="single" w:color="auto" w:sz="4" w:space="0"/>
            </w:tcBorders>
            <w:shd w:val="clear" w:color="auto" w:fill="auto"/>
            <w:noWrap/>
            <w:vAlign w:val="center"/>
          </w:tcPr>
          <w:p w14:paraId="309FA9FE">
            <w:pPr>
              <w:jc w:val="center"/>
              <w:rPr>
                <w:rFonts w:ascii="Arial" w:hAnsi="Arial" w:cs="Arial"/>
                <w:color w:val="000000"/>
                <w:sz w:val="20"/>
                <w:szCs w:val="20"/>
                <w:lang w:eastAsia="zh-CN"/>
              </w:rPr>
            </w:pPr>
            <w:r>
              <w:rPr>
                <w:rFonts w:hint="eastAsia" w:ascii="Arial" w:hAnsi="Arial" w:cs="Arial"/>
                <w:color w:val="000000"/>
                <w:sz w:val="20"/>
                <w:szCs w:val="20"/>
                <w:lang w:val="en-US" w:eastAsia="zh-CN"/>
              </w:rPr>
              <w:t>2</w:t>
            </w:r>
            <w:r>
              <w:rPr>
                <w:rFonts w:ascii="Arial" w:hAnsi="Arial" w:cs="Arial"/>
                <w:color w:val="000000"/>
                <w:sz w:val="20"/>
                <w:szCs w:val="20"/>
                <w:lang w:eastAsia="zh-CN"/>
              </w:rPr>
              <w:t>0.00%</w:t>
            </w:r>
          </w:p>
        </w:tc>
      </w:tr>
      <w:tr w14:paraId="7FC4F5D8">
        <w:tblPrEx>
          <w:tblCellMar>
            <w:top w:w="0" w:type="dxa"/>
            <w:left w:w="108" w:type="dxa"/>
            <w:bottom w:w="0" w:type="dxa"/>
            <w:right w:w="108" w:type="dxa"/>
          </w:tblCellMar>
        </w:tblPrEx>
        <w:trPr>
          <w:trHeight w:val="70"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0CDFD204">
            <w:pPr>
              <w:jc w:val="center"/>
              <w:rPr>
                <w:rFonts w:ascii="Arial" w:hAnsi="Arial" w:cs="Arial"/>
                <w:color w:val="000000"/>
                <w:sz w:val="20"/>
                <w:szCs w:val="20"/>
                <w:lang w:eastAsia="zh-CN"/>
              </w:rPr>
            </w:pPr>
            <w:r>
              <w:rPr>
                <w:rFonts w:ascii="Arial" w:hAnsi="Arial" w:cs="Arial"/>
                <w:color w:val="000000"/>
                <w:sz w:val="20"/>
                <w:szCs w:val="20"/>
                <w:lang w:eastAsia="zh-CN"/>
              </w:rPr>
              <w:t>3</w:t>
            </w:r>
          </w:p>
        </w:tc>
        <w:tc>
          <w:tcPr>
            <w:tcW w:w="2933" w:type="dxa"/>
            <w:tcBorders>
              <w:top w:val="nil"/>
              <w:left w:val="nil"/>
              <w:bottom w:val="single" w:color="auto" w:sz="4" w:space="0"/>
              <w:right w:val="single" w:color="auto" w:sz="4" w:space="0"/>
            </w:tcBorders>
            <w:shd w:val="clear" w:color="auto" w:fill="auto"/>
            <w:noWrap/>
            <w:vAlign w:val="center"/>
          </w:tcPr>
          <w:p w14:paraId="1EA596AA">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入组病例数达到一半时</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4CF67AD0">
            <w:pPr>
              <w:keepNext w:val="0"/>
              <w:keepLines w:val="0"/>
              <w:pageBreakBefore w:val="0"/>
              <w:widowControl w:val="0"/>
              <w:kinsoku/>
              <w:wordWrap/>
              <w:overflowPunct/>
              <w:topLinePunct w:val="0"/>
              <w:autoSpaceDE/>
              <w:autoSpaceDN/>
              <w:bidi w:val="0"/>
              <w:adjustRightInd/>
              <w:snapToGrid/>
              <w:jc w:val="both"/>
              <w:textAlignment w:val="auto"/>
              <w:rPr>
                <w:rFonts w:ascii="Arial" w:hAnsi="Arial" w:cs="Arial"/>
                <w:color w:val="000000"/>
                <w:sz w:val="20"/>
                <w:szCs w:val="20"/>
                <w:lang w:eastAsia="zh-CN"/>
              </w:rPr>
            </w:pPr>
            <w:r>
              <w:rPr>
                <w:rFonts w:ascii="Arial" w:hAnsi="Arial" w:cs="Arial"/>
                <w:color w:val="000000"/>
                <w:sz w:val="20"/>
                <w:szCs w:val="20"/>
              </w:rPr>
              <w:t xml:space="preserve"> </w:t>
            </w:r>
          </w:p>
        </w:tc>
        <w:tc>
          <w:tcPr>
            <w:tcW w:w="2854" w:type="dxa"/>
            <w:gridSpan w:val="4"/>
            <w:tcBorders>
              <w:top w:val="nil"/>
              <w:left w:val="nil"/>
              <w:bottom w:val="single" w:color="auto" w:sz="4" w:space="0"/>
              <w:right w:val="single" w:color="auto" w:sz="4" w:space="0"/>
            </w:tcBorders>
            <w:shd w:val="clear" w:color="auto" w:fill="auto"/>
            <w:noWrap/>
            <w:vAlign w:val="center"/>
          </w:tcPr>
          <w:p w14:paraId="4DBFEED4">
            <w:pPr>
              <w:jc w:val="center"/>
              <w:rPr>
                <w:rFonts w:ascii="Arial" w:hAnsi="Arial" w:cs="Arial"/>
                <w:color w:val="000000"/>
                <w:sz w:val="20"/>
                <w:szCs w:val="20"/>
                <w:lang w:eastAsia="zh-CN"/>
              </w:rPr>
            </w:pPr>
            <w:r>
              <w:rPr>
                <w:rFonts w:ascii="Arial" w:hAnsi="Arial" w:cs="Arial"/>
                <w:color w:val="000000"/>
                <w:sz w:val="20"/>
                <w:szCs w:val="20"/>
                <w:lang w:eastAsia="zh-CN"/>
              </w:rPr>
              <w:t>30.00%</w:t>
            </w:r>
          </w:p>
        </w:tc>
      </w:tr>
      <w:tr w14:paraId="24A64E2E">
        <w:tblPrEx>
          <w:tblCellMar>
            <w:top w:w="0" w:type="dxa"/>
            <w:left w:w="108" w:type="dxa"/>
            <w:bottom w:w="0" w:type="dxa"/>
            <w:right w:w="108" w:type="dxa"/>
          </w:tblCellMar>
        </w:tblPrEx>
        <w:trPr>
          <w:trHeight w:val="70"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3046221A">
            <w:pPr>
              <w:jc w:val="center"/>
              <w:rPr>
                <w:rFonts w:ascii="Arial" w:hAnsi="Arial" w:cs="Arial"/>
                <w:color w:val="000000"/>
                <w:sz w:val="20"/>
                <w:szCs w:val="20"/>
                <w:lang w:eastAsia="zh-CN"/>
              </w:rPr>
            </w:pPr>
            <w:r>
              <w:rPr>
                <w:rFonts w:ascii="Arial" w:hAnsi="Arial" w:cs="Arial"/>
                <w:color w:val="000000"/>
                <w:sz w:val="20"/>
                <w:szCs w:val="20"/>
                <w:lang w:eastAsia="zh-CN"/>
              </w:rPr>
              <w:t>4</w:t>
            </w:r>
          </w:p>
        </w:tc>
        <w:tc>
          <w:tcPr>
            <w:tcW w:w="2933" w:type="dxa"/>
            <w:tcBorders>
              <w:top w:val="nil"/>
              <w:left w:val="nil"/>
              <w:bottom w:val="single" w:color="auto" w:sz="4" w:space="0"/>
              <w:right w:val="single" w:color="auto" w:sz="4" w:space="0"/>
            </w:tcBorders>
            <w:shd w:val="clear" w:color="000000" w:fill="FFFFFF"/>
            <w:noWrap/>
            <w:vAlign w:val="center"/>
          </w:tcPr>
          <w:p w14:paraId="7639A893">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入组病例数达到预计病例数</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4CABF60D">
            <w:pPr>
              <w:keepNext w:val="0"/>
              <w:keepLines w:val="0"/>
              <w:pageBreakBefore w:val="0"/>
              <w:widowControl w:val="0"/>
              <w:kinsoku/>
              <w:wordWrap/>
              <w:overflowPunct/>
              <w:topLinePunct w:val="0"/>
              <w:autoSpaceDE/>
              <w:autoSpaceDN/>
              <w:bidi w:val="0"/>
              <w:adjustRightInd/>
              <w:snapToGrid/>
              <w:jc w:val="both"/>
              <w:textAlignment w:val="auto"/>
              <w:rPr>
                <w:rFonts w:ascii="Arial" w:hAnsi="Arial" w:cs="Arial"/>
                <w:color w:val="000000"/>
                <w:sz w:val="20"/>
                <w:szCs w:val="20"/>
                <w:lang w:eastAsia="zh-CN"/>
              </w:rPr>
            </w:pPr>
            <w:r>
              <w:rPr>
                <w:rFonts w:ascii="Arial" w:hAnsi="Arial" w:cs="Arial"/>
                <w:color w:val="000000"/>
                <w:sz w:val="20"/>
                <w:szCs w:val="20"/>
              </w:rPr>
              <w:t xml:space="preserve"> </w:t>
            </w:r>
          </w:p>
        </w:tc>
        <w:tc>
          <w:tcPr>
            <w:tcW w:w="2854" w:type="dxa"/>
            <w:gridSpan w:val="4"/>
            <w:tcBorders>
              <w:top w:val="nil"/>
              <w:left w:val="nil"/>
              <w:bottom w:val="single" w:color="auto" w:sz="4" w:space="0"/>
              <w:right w:val="single" w:color="auto" w:sz="4" w:space="0"/>
            </w:tcBorders>
            <w:shd w:val="clear" w:color="auto" w:fill="auto"/>
            <w:noWrap/>
            <w:vAlign w:val="center"/>
          </w:tcPr>
          <w:p w14:paraId="22AFC183">
            <w:pPr>
              <w:jc w:val="center"/>
              <w:rPr>
                <w:rFonts w:ascii="Arial" w:hAnsi="Arial" w:cs="Arial"/>
                <w:color w:val="000000"/>
                <w:sz w:val="20"/>
                <w:szCs w:val="20"/>
                <w:lang w:eastAsia="zh-CN"/>
              </w:rPr>
            </w:pPr>
            <w:r>
              <w:rPr>
                <w:rFonts w:hint="eastAsia" w:ascii="Arial" w:hAnsi="Arial" w:cs="Arial"/>
                <w:color w:val="000000"/>
                <w:sz w:val="20"/>
                <w:szCs w:val="20"/>
                <w:lang w:val="en-US" w:eastAsia="zh-CN"/>
              </w:rPr>
              <w:t>3</w:t>
            </w:r>
            <w:r>
              <w:rPr>
                <w:rFonts w:ascii="Arial" w:hAnsi="Arial" w:cs="Arial"/>
                <w:color w:val="000000"/>
                <w:sz w:val="20"/>
                <w:szCs w:val="20"/>
                <w:lang w:eastAsia="zh-CN"/>
              </w:rPr>
              <w:t>0.00%</w:t>
            </w:r>
          </w:p>
        </w:tc>
      </w:tr>
      <w:tr w14:paraId="115F8A36">
        <w:tblPrEx>
          <w:tblCellMar>
            <w:top w:w="0" w:type="dxa"/>
            <w:left w:w="108" w:type="dxa"/>
            <w:bottom w:w="0" w:type="dxa"/>
            <w:right w:w="108" w:type="dxa"/>
          </w:tblCellMar>
        </w:tblPrEx>
        <w:trPr>
          <w:trHeight w:val="343"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767010A6">
            <w:pPr>
              <w:jc w:val="center"/>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5</w:t>
            </w:r>
          </w:p>
        </w:tc>
        <w:tc>
          <w:tcPr>
            <w:tcW w:w="2933" w:type="dxa"/>
            <w:tcBorders>
              <w:top w:val="nil"/>
              <w:left w:val="nil"/>
              <w:bottom w:val="single" w:color="auto" w:sz="4" w:space="0"/>
              <w:right w:val="single" w:color="auto" w:sz="4" w:space="0"/>
            </w:tcBorders>
            <w:shd w:val="clear" w:color="000000" w:fill="FFFFFF"/>
            <w:noWrap/>
            <w:vAlign w:val="center"/>
          </w:tcPr>
          <w:p w14:paraId="6EEA01B2">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项目结题</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24C0164E">
            <w:pPr>
              <w:keepNext w:val="0"/>
              <w:keepLines w:val="0"/>
              <w:pageBreakBefore w:val="0"/>
              <w:widowControl w:val="0"/>
              <w:kinsoku/>
              <w:wordWrap/>
              <w:overflowPunct/>
              <w:topLinePunct w:val="0"/>
              <w:autoSpaceDE/>
              <w:autoSpaceDN/>
              <w:bidi w:val="0"/>
              <w:adjustRightInd/>
              <w:snapToGrid/>
              <w:jc w:val="both"/>
              <w:textAlignment w:val="auto"/>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多退少补</w:t>
            </w:r>
          </w:p>
        </w:tc>
        <w:tc>
          <w:tcPr>
            <w:tcW w:w="2854" w:type="dxa"/>
            <w:gridSpan w:val="4"/>
            <w:tcBorders>
              <w:top w:val="nil"/>
              <w:left w:val="nil"/>
              <w:bottom w:val="single" w:color="auto" w:sz="4" w:space="0"/>
              <w:right w:val="single" w:color="auto" w:sz="4" w:space="0"/>
            </w:tcBorders>
            <w:shd w:val="clear" w:color="auto" w:fill="auto"/>
            <w:noWrap/>
            <w:vAlign w:val="center"/>
          </w:tcPr>
          <w:p w14:paraId="1B29105D">
            <w:pPr>
              <w:jc w:val="center"/>
              <w:rPr>
                <w:rFonts w:ascii="Arial" w:hAnsi="Arial" w:cs="Arial"/>
                <w:color w:val="000000"/>
                <w:sz w:val="20"/>
                <w:szCs w:val="20"/>
                <w:lang w:eastAsia="zh-CN"/>
              </w:rPr>
            </w:pPr>
            <w:r>
              <w:rPr>
                <w:rFonts w:hint="eastAsia" w:ascii="Arial" w:hAnsi="Arial" w:cs="Arial"/>
                <w:color w:val="000000"/>
                <w:sz w:val="20"/>
                <w:szCs w:val="20"/>
                <w:lang w:val="en-US" w:eastAsia="zh-CN"/>
              </w:rPr>
              <w:t>按实际发生金额结算尾款。</w:t>
            </w:r>
          </w:p>
        </w:tc>
      </w:tr>
      <w:tr w14:paraId="08C05422">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0EBCB068">
            <w:pPr>
              <w:keepNext w:val="0"/>
              <w:keepLines w:val="0"/>
              <w:pageBreakBefore w:val="0"/>
              <w:widowControl w:val="0"/>
              <w:kinsoku/>
              <w:wordWrap/>
              <w:overflowPunct/>
              <w:topLinePunct w:val="0"/>
              <w:autoSpaceDE/>
              <w:autoSpaceDN/>
              <w:bidi w:val="0"/>
              <w:adjustRightInd/>
              <w:snapToGrid/>
              <w:jc w:val="center"/>
              <w:textAlignment w:val="auto"/>
              <w:rPr>
                <w:rFonts w:ascii="Arial" w:hAnsi="Arial" w:cs="Arial"/>
                <w:b/>
                <w:bCs/>
                <w:color w:val="000000"/>
                <w:sz w:val="20"/>
                <w:szCs w:val="20"/>
                <w:lang w:eastAsia="zh-CN"/>
              </w:rPr>
            </w:pPr>
            <w:r>
              <w:rPr>
                <w:rFonts w:hint="eastAsia" w:ascii="微软雅黑" w:hAnsi="微软雅黑" w:eastAsia="微软雅黑" w:cs="Arial"/>
                <w:b/>
                <w:bCs/>
                <w:color w:val="000000"/>
                <w:sz w:val="20"/>
                <w:szCs w:val="20"/>
                <w:lang w:eastAsia="zh-CN"/>
              </w:rPr>
              <w:t>总计</w:t>
            </w:r>
          </w:p>
        </w:tc>
        <w:tc>
          <w:tcPr>
            <w:tcW w:w="1356" w:type="dxa"/>
            <w:tcBorders>
              <w:top w:val="nil"/>
              <w:left w:val="single" w:color="auto" w:sz="4" w:space="0"/>
              <w:bottom w:val="single" w:color="auto" w:sz="4" w:space="0"/>
              <w:right w:val="single" w:color="auto" w:sz="4" w:space="0"/>
            </w:tcBorders>
            <w:shd w:val="clear" w:color="000000" w:fill="D9D9D9"/>
            <w:noWrap/>
            <w:vAlign w:val="center"/>
          </w:tcPr>
          <w:p w14:paraId="1F4267CD">
            <w:pPr>
              <w:keepNext w:val="0"/>
              <w:keepLines w:val="0"/>
              <w:pageBreakBefore w:val="0"/>
              <w:widowControl w:val="0"/>
              <w:kinsoku/>
              <w:wordWrap/>
              <w:overflowPunct/>
              <w:topLinePunct w:val="0"/>
              <w:autoSpaceDE/>
              <w:autoSpaceDN/>
              <w:bidi w:val="0"/>
              <w:adjustRightInd/>
              <w:snapToGrid/>
              <w:jc w:val="right"/>
              <w:textAlignment w:val="auto"/>
              <w:rPr>
                <w:rFonts w:ascii="Arial" w:hAnsi="Arial" w:cs="Arial"/>
                <w:b/>
                <w:bCs/>
                <w:color w:val="000000"/>
                <w:sz w:val="20"/>
                <w:szCs w:val="20"/>
                <w:lang w:eastAsia="zh-CN"/>
              </w:rPr>
            </w:pPr>
            <w:r>
              <w:rPr>
                <w:rFonts w:ascii="Arial" w:hAnsi="Arial" w:cs="Arial"/>
                <w:b/>
                <w:bCs/>
                <w:color w:val="000000"/>
                <w:sz w:val="20"/>
                <w:szCs w:val="20"/>
              </w:rPr>
              <w:t xml:space="preserve"> </w:t>
            </w:r>
            <w:r>
              <w:rPr>
                <w:rFonts w:ascii="Arial" w:hAnsi="Arial" w:cs="Arial"/>
                <w:b/>
                <w:bCs/>
                <w:color w:val="000000"/>
                <w:sz w:val="20"/>
                <w:szCs w:val="20"/>
                <w:lang w:eastAsia="zh-CN"/>
              </w:rPr>
              <w:t xml:space="preserve"> </w:t>
            </w:r>
          </w:p>
        </w:tc>
        <w:tc>
          <w:tcPr>
            <w:tcW w:w="2854" w:type="dxa"/>
            <w:gridSpan w:val="4"/>
            <w:tcBorders>
              <w:top w:val="nil"/>
              <w:left w:val="nil"/>
              <w:bottom w:val="single" w:color="auto" w:sz="4" w:space="0"/>
              <w:right w:val="single" w:color="auto" w:sz="4" w:space="0"/>
            </w:tcBorders>
            <w:shd w:val="clear" w:color="000000" w:fill="D9D9D9"/>
            <w:noWrap/>
            <w:vAlign w:val="center"/>
          </w:tcPr>
          <w:p w14:paraId="787BB282">
            <w:pPr>
              <w:jc w:val="center"/>
              <w:rPr>
                <w:rFonts w:ascii="Arial" w:hAnsi="Arial" w:cs="Arial"/>
                <w:color w:val="000000"/>
                <w:sz w:val="20"/>
                <w:szCs w:val="20"/>
                <w:lang w:eastAsia="zh-CN"/>
              </w:rPr>
            </w:pPr>
          </w:p>
        </w:tc>
      </w:tr>
      <w:tr w14:paraId="149AF991">
        <w:tblPrEx>
          <w:tblCellMar>
            <w:top w:w="0" w:type="dxa"/>
            <w:left w:w="108" w:type="dxa"/>
            <w:bottom w:w="0" w:type="dxa"/>
            <w:right w:w="108" w:type="dxa"/>
          </w:tblCellMar>
        </w:tblPrEx>
        <w:trPr>
          <w:trHeight w:val="364" w:hRule="atLeast"/>
        </w:trPr>
        <w:tc>
          <w:tcPr>
            <w:tcW w:w="859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15700D5">
            <w:pPr>
              <w:rPr>
                <w:rFonts w:ascii="Arial" w:hAnsi="Arial" w:cs="Arial"/>
                <w:sz w:val="20"/>
                <w:szCs w:val="20"/>
                <w:lang w:eastAsia="zh-CN"/>
              </w:rPr>
            </w:pPr>
            <w:r>
              <w:rPr>
                <w:rFonts w:ascii="Arial" w:hAnsi="Arial" w:cs="Arial"/>
                <w:sz w:val="20"/>
                <w:szCs w:val="20"/>
                <w:lang w:eastAsia="zh-CN"/>
              </w:rPr>
              <w:t>预计入组</w:t>
            </w:r>
            <w:r>
              <w:rPr>
                <w:rFonts w:hint="default" w:ascii="Times New Roman" w:hAnsi="Times New Roman" w:cs="Times New Roman"/>
                <w:sz w:val="20"/>
                <w:szCs w:val="20"/>
                <w:lang w:val="en-US" w:eastAsia="zh-CN"/>
              </w:rPr>
              <w:t>X</w:t>
            </w:r>
            <w:r>
              <w:rPr>
                <w:rFonts w:ascii="Arial" w:hAnsi="Arial" w:cs="Arial"/>
                <w:sz w:val="20"/>
                <w:szCs w:val="20"/>
                <w:lang w:eastAsia="zh-CN"/>
              </w:rPr>
              <w:t>例，按实际受试者例数结算</w:t>
            </w:r>
          </w:p>
        </w:tc>
      </w:tr>
      <w:tr w14:paraId="5F85094D">
        <w:tblPrEx>
          <w:tblCellMar>
            <w:top w:w="0" w:type="dxa"/>
            <w:left w:w="108" w:type="dxa"/>
            <w:bottom w:w="0" w:type="dxa"/>
            <w:right w:w="108" w:type="dxa"/>
          </w:tblCellMar>
        </w:tblPrEx>
        <w:trPr>
          <w:trHeight w:val="563" w:hRule="atLeast"/>
        </w:trPr>
        <w:tc>
          <w:tcPr>
            <w:tcW w:w="8591" w:type="dxa"/>
            <w:gridSpan w:val="7"/>
            <w:tcBorders>
              <w:top w:val="nil"/>
              <w:left w:val="single" w:color="auto" w:sz="4" w:space="0"/>
              <w:bottom w:val="single" w:color="auto" w:sz="4" w:space="0"/>
              <w:right w:val="single" w:color="auto" w:sz="4" w:space="0"/>
            </w:tcBorders>
            <w:shd w:val="clear" w:color="auto" w:fill="auto"/>
            <w:noWrap/>
            <w:vAlign w:val="center"/>
          </w:tcPr>
          <w:p w14:paraId="29A1E1D5">
            <w:pPr>
              <w:rPr>
                <w:rFonts w:ascii="Arial" w:hAnsi="Arial" w:cs="Arial"/>
                <w:color w:val="000000"/>
                <w:sz w:val="22"/>
                <w:szCs w:val="22"/>
                <w:lang w:eastAsia="zh-CN"/>
              </w:rPr>
            </w:pPr>
            <w:r>
              <w:rPr>
                <w:rFonts w:hint="eastAsia" w:ascii="宋体" w:hAnsi="宋体" w:eastAsia="宋体" w:cs="宋体"/>
                <w:color w:val="000000"/>
                <w:sz w:val="20"/>
                <w:szCs w:val="20"/>
                <w:lang w:eastAsia="zh-CN"/>
              </w:rPr>
              <w:t>本预算仅包括</w:t>
            </w:r>
            <w:r>
              <w:rPr>
                <w:rFonts w:hint="eastAsia" w:ascii="宋体" w:hAnsi="宋体" w:cs="宋体"/>
                <w:color w:val="000000"/>
                <w:sz w:val="20"/>
                <w:szCs w:val="20"/>
                <w:lang w:val="en-US" w:eastAsia="zh-CN"/>
              </w:rPr>
              <w:t>X</w:t>
            </w:r>
            <w:r>
              <w:rPr>
                <w:rFonts w:hint="eastAsia" w:ascii="宋体" w:hAnsi="宋体" w:eastAsia="宋体" w:cs="宋体"/>
                <w:color w:val="000000"/>
                <w:sz w:val="20"/>
                <w:szCs w:val="20"/>
                <w:lang w:eastAsia="zh-CN"/>
              </w:rPr>
              <w:t>个周期按方案访视费用，后续周期费用及计划外访视按实际发生结算，管理费税费另计。</w:t>
            </w:r>
          </w:p>
        </w:tc>
      </w:tr>
      <w:tr w14:paraId="7A181C81">
        <w:tblPrEx>
          <w:tblCellMar>
            <w:top w:w="0" w:type="dxa"/>
            <w:left w:w="108" w:type="dxa"/>
            <w:bottom w:w="0" w:type="dxa"/>
            <w:right w:w="108" w:type="dxa"/>
          </w:tblCellMar>
        </w:tblPrEx>
        <w:trPr>
          <w:trHeight w:val="428" w:hRule="atLeast"/>
        </w:trPr>
        <w:tc>
          <w:tcPr>
            <w:tcW w:w="8591" w:type="dxa"/>
            <w:gridSpan w:val="7"/>
            <w:tcBorders>
              <w:top w:val="nil"/>
              <w:left w:val="single" w:color="auto" w:sz="4" w:space="0"/>
              <w:bottom w:val="single" w:color="auto" w:sz="4" w:space="0"/>
              <w:right w:val="single" w:color="auto" w:sz="4" w:space="0"/>
            </w:tcBorders>
            <w:shd w:val="clear" w:color="000000" w:fill="FFFFFF"/>
            <w:vAlign w:val="center"/>
          </w:tcPr>
          <w:p w14:paraId="3CB89AFE">
            <w:pPr>
              <w:rPr>
                <w:rFonts w:ascii="Arial" w:hAnsi="Arial" w:cs="Arial"/>
                <w:b/>
                <w:bCs/>
                <w:lang w:eastAsia="zh-CN"/>
              </w:rPr>
            </w:pPr>
            <w:r>
              <w:rPr>
                <w:rFonts w:hint="eastAsia" w:ascii="微软雅黑" w:hAnsi="微软雅黑" w:eastAsia="微软雅黑" w:cs="Arial"/>
                <w:b/>
                <w:bCs/>
                <w:lang w:eastAsia="zh-CN"/>
              </w:rPr>
              <w:t>账户信息</w:t>
            </w:r>
          </w:p>
        </w:tc>
      </w:tr>
      <w:tr w14:paraId="6F84B9C3">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4D7BE0">
            <w:pPr>
              <w:jc w:val="center"/>
              <w:rPr>
                <w:rFonts w:hint="eastAsia" w:ascii="宋体" w:hAnsi="宋体" w:cs="宋体"/>
                <w:sz w:val="20"/>
                <w:szCs w:val="20"/>
                <w:lang w:eastAsia="zh-CN"/>
              </w:rPr>
            </w:pPr>
            <w:r>
              <w:rPr>
                <w:rFonts w:hint="eastAsia" w:ascii="宋体" w:hAnsi="宋体" w:eastAsia="宋体" w:cs="宋体"/>
                <w:sz w:val="20"/>
                <w:szCs w:val="20"/>
                <w:lang w:eastAsia="zh-CN"/>
              </w:rPr>
              <w:t>公司名称：</w:t>
            </w:r>
          </w:p>
        </w:tc>
        <w:tc>
          <w:tcPr>
            <w:tcW w:w="42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EBAA006">
            <w:pPr>
              <w:jc w:val="center"/>
              <w:rPr>
                <w:rFonts w:hint="eastAsia" w:ascii="宋体" w:hAnsi="宋体" w:cs="宋体"/>
                <w:sz w:val="20"/>
                <w:szCs w:val="20"/>
                <w:lang w:eastAsia="zh-CN"/>
              </w:rPr>
            </w:pPr>
            <w:r>
              <w:rPr>
                <w:rFonts w:hint="eastAsia" w:ascii="宋体" w:hAnsi="宋体" w:cs="宋体"/>
                <w:sz w:val="20"/>
                <w:szCs w:val="20"/>
                <w:lang w:eastAsia="zh-CN"/>
              </w:rPr>
              <w:t>上海市老年医学中心</w:t>
            </w:r>
          </w:p>
        </w:tc>
      </w:tr>
      <w:tr w14:paraId="520B3958">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D885BC">
            <w:pPr>
              <w:jc w:val="center"/>
              <w:rPr>
                <w:rFonts w:hint="eastAsia" w:ascii="宋体" w:hAnsi="宋体" w:cs="宋体"/>
                <w:sz w:val="20"/>
                <w:szCs w:val="20"/>
                <w:lang w:eastAsia="zh-CN"/>
              </w:rPr>
            </w:pPr>
            <w:r>
              <w:rPr>
                <w:rFonts w:hint="eastAsia" w:ascii="宋体" w:hAnsi="宋体" w:eastAsia="宋体" w:cs="宋体"/>
                <w:sz w:val="20"/>
                <w:szCs w:val="20"/>
                <w:lang w:eastAsia="zh-CN"/>
              </w:rPr>
              <w:t>税务登记号：</w:t>
            </w:r>
          </w:p>
        </w:tc>
        <w:tc>
          <w:tcPr>
            <w:tcW w:w="42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7D52F97">
            <w:pPr>
              <w:jc w:val="center"/>
              <w:rPr>
                <w:rFonts w:hint="eastAsia" w:ascii="宋体" w:hAnsi="宋体" w:cs="宋体"/>
                <w:sz w:val="20"/>
                <w:szCs w:val="20"/>
                <w:lang w:eastAsia="zh-CN"/>
              </w:rPr>
            </w:pPr>
            <w:r>
              <w:rPr>
                <w:rFonts w:hint="eastAsia" w:ascii="宋体" w:hAnsi="宋体" w:cs="宋体"/>
                <w:sz w:val="24"/>
                <w:lang w:val="en-US" w:eastAsia="zh-CN"/>
              </w:rPr>
              <w:t>12310000MB2F047037</w:t>
            </w:r>
          </w:p>
        </w:tc>
      </w:tr>
      <w:tr w14:paraId="51E9A46C">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7FA60C">
            <w:pPr>
              <w:jc w:val="center"/>
              <w:rPr>
                <w:rFonts w:hint="eastAsia" w:ascii="宋体" w:hAnsi="宋体" w:cs="宋体"/>
                <w:sz w:val="20"/>
                <w:szCs w:val="20"/>
                <w:lang w:eastAsia="zh-CN"/>
              </w:rPr>
            </w:pPr>
            <w:r>
              <w:rPr>
                <w:rFonts w:hint="eastAsia" w:ascii="宋体" w:hAnsi="宋体" w:eastAsia="宋体" w:cs="宋体"/>
                <w:sz w:val="20"/>
                <w:szCs w:val="20"/>
                <w:lang w:eastAsia="zh-CN"/>
              </w:rPr>
              <w:t>开户行：</w:t>
            </w:r>
          </w:p>
        </w:tc>
        <w:tc>
          <w:tcPr>
            <w:tcW w:w="42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87F1BF8">
            <w:pPr>
              <w:jc w:val="center"/>
              <w:rPr>
                <w:rFonts w:hint="eastAsia" w:ascii="宋体" w:hAnsi="宋体" w:cs="宋体"/>
                <w:sz w:val="20"/>
                <w:szCs w:val="20"/>
                <w:lang w:eastAsia="zh-CN"/>
              </w:rPr>
            </w:pPr>
            <w:r>
              <w:rPr>
                <w:rFonts w:hint="eastAsia" w:ascii="宋体" w:hAnsi="宋体" w:cs="宋体"/>
                <w:sz w:val="20"/>
                <w:szCs w:val="20"/>
                <w:lang w:eastAsia="zh-CN"/>
              </w:rPr>
              <w:t>工商银行上海市闵行支行</w:t>
            </w:r>
          </w:p>
        </w:tc>
      </w:tr>
      <w:tr w14:paraId="3130CEEB">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475A81">
            <w:pPr>
              <w:jc w:val="center"/>
              <w:rPr>
                <w:rFonts w:hint="eastAsia" w:ascii="宋体" w:hAnsi="宋体" w:cs="宋体"/>
                <w:sz w:val="20"/>
                <w:szCs w:val="20"/>
                <w:lang w:eastAsia="zh-CN"/>
              </w:rPr>
            </w:pPr>
            <w:r>
              <w:rPr>
                <w:rFonts w:hint="eastAsia" w:ascii="宋体" w:hAnsi="宋体" w:eastAsia="宋体" w:cs="宋体"/>
                <w:sz w:val="20"/>
                <w:szCs w:val="20"/>
                <w:lang w:eastAsia="zh-CN"/>
              </w:rPr>
              <w:t>银行账号：</w:t>
            </w:r>
          </w:p>
        </w:tc>
        <w:tc>
          <w:tcPr>
            <w:tcW w:w="42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79B5E4F">
            <w:pPr>
              <w:jc w:val="center"/>
              <w:rPr>
                <w:rFonts w:hint="eastAsia" w:ascii="宋体" w:hAnsi="宋体" w:cs="宋体"/>
                <w:sz w:val="20"/>
                <w:szCs w:val="20"/>
                <w:lang w:eastAsia="zh-CN"/>
              </w:rPr>
            </w:pPr>
            <w:r>
              <w:rPr>
                <w:rFonts w:hint="eastAsia" w:ascii="宋体" w:hAnsi="宋体" w:cs="宋体"/>
                <w:sz w:val="24"/>
                <w:lang w:val="en-US" w:eastAsia="zh-CN"/>
              </w:rPr>
              <w:t>1001100429006008855</w:t>
            </w:r>
          </w:p>
        </w:tc>
      </w:tr>
    </w:tbl>
    <w:p w14:paraId="2FA8AC28">
      <w:pPr>
        <w:pStyle w:val="2"/>
        <w:rPr>
          <w:rFonts w:hint="eastAsia"/>
        </w:rPr>
      </w:pPr>
    </w:p>
    <w:p w14:paraId="55BB12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新宋体" w:hAnsi="新宋体" w:eastAsia="新宋体"/>
          <w:sz w:val="24"/>
        </w:rPr>
      </w:pPr>
    </w:p>
    <w:sectPr>
      <w:pgSz w:w="11906" w:h="16838"/>
      <w:pgMar w:top="850" w:right="1440" w:bottom="850" w:left="1440" w:header="1134" w:footer="1134" w:gutter="0"/>
      <w:pgNumType w:fmt="decimal"/>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658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10202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510202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264E">
    <w:pPr>
      <w:pBdr>
        <w:top w:val="single" w:color="auto" w:sz="4" w:space="1"/>
        <w:left w:val="single" w:color="auto" w:sz="4" w:space="4"/>
        <w:bottom w:val="single" w:color="auto" w:sz="4" w:space="0"/>
        <w:right w:val="single" w:color="auto" w:sz="4" w:space="4"/>
      </w:pBdr>
      <w:shd w:val="pct10" w:color="auto" w:fill="FFFFFF"/>
    </w:pPr>
    <w:r>
      <w:rPr>
        <w:rFonts w:hint="eastAsia"/>
        <w:i/>
        <w:lang w:val="en-US" w:eastAsia="zh-CN"/>
      </w:rPr>
      <w:t>上海市老年医学中心</w:t>
    </w:r>
    <w:r>
      <w:rPr>
        <w:rFonts w:hint="eastAsia"/>
        <w:i/>
      </w:rPr>
      <w:t xml:space="preserve">临床试验机构                                     </w:t>
    </w:r>
    <w:r>
      <w:rPr>
        <w:rFonts w:hint="eastAsia"/>
        <w:i/>
        <w:lang w:val="en-US" w:eastAsia="zh-CN"/>
      </w:rPr>
      <w:t xml:space="preserve">     </w:t>
    </w:r>
    <w:r>
      <w:rPr>
        <w:rFonts w:hint="eastAsia"/>
      </w:rPr>
      <w:t xml:space="preserve">   </w:t>
    </w:r>
    <w:r>
      <w:rPr>
        <w:rFonts w:hint="eastAsia"/>
        <w:lang w:val="en-US" w:eastAsia="zh-CN"/>
      </w:rPr>
      <w:t xml:space="preserve">    </w:t>
    </w:r>
    <w:r>
      <w:rPr>
        <w:rFonts w:hint="eastAsia"/>
      </w:rPr>
      <w:t xml:space="preserve">     ZSGMCORG-</w:t>
    </w:r>
    <w:r>
      <w:rPr>
        <w:rFonts w:hint="eastAsia"/>
        <w:lang w:val="en-US" w:eastAsia="zh-CN"/>
      </w:rPr>
      <w:t>ADM</w:t>
    </w:r>
    <w:r>
      <w:rPr>
        <w:rFonts w:hint="eastAsia"/>
      </w:rPr>
      <w:t>-0</w:t>
    </w:r>
    <w:r>
      <w:rPr>
        <w:rFonts w:hint="eastAsia"/>
        <w:lang w:val="en-US" w:eastAsia="zh-CN"/>
      </w:rPr>
      <w:t>07</w:t>
    </w:r>
    <w:r>
      <w:rPr>
        <w:rFonts w:hint="eastAsia"/>
      </w:rPr>
      <w:t>-A</w:t>
    </w:r>
    <w:r>
      <w:rPr>
        <w:rFonts w:hint="eastAsia"/>
        <w:lang w:val="en-US" w:eastAsia="zh-CN"/>
      </w:rPr>
      <w:t xml:space="preserve">01 V1.0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2CDF3"/>
    <w:multiLevelType w:val="singleLevel"/>
    <w:tmpl w:val="AA72CDF3"/>
    <w:lvl w:ilvl="0" w:tentative="0">
      <w:start w:val="1"/>
      <w:numFmt w:val="decimal"/>
      <w:lvlText w:val="%1."/>
      <w:lvlJc w:val="left"/>
      <w:pPr>
        <w:tabs>
          <w:tab w:val="left" w:pos="312"/>
        </w:tabs>
      </w:pPr>
      <w:rPr>
        <w:rFonts w:hint="default"/>
        <w:b w:val="0"/>
        <w:bCs w:val="0"/>
      </w:rPr>
    </w:lvl>
  </w:abstractNum>
  <w:abstractNum w:abstractNumId="1">
    <w:nsid w:val="C15D2DAD"/>
    <w:multiLevelType w:val="singleLevel"/>
    <w:tmpl w:val="C15D2DAD"/>
    <w:lvl w:ilvl="0" w:tentative="0">
      <w:start w:val="1"/>
      <w:numFmt w:val="chineseCounting"/>
      <w:suff w:val="nothing"/>
      <w:lvlText w:val="%1、"/>
      <w:lvlJc w:val="left"/>
      <w:pPr>
        <w:ind w:left="0" w:firstLine="420"/>
      </w:pPr>
      <w:rPr>
        <w:rFonts w:hint="eastAsia"/>
      </w:rPr>
    </w:lvl>
  </w:abstractNum>
  <w:abstractNum w:abstractNumId="2">
    <w:nsid w:val="1FEC6544"/>
    <w:multiLevelType w:val="multilevel"/>
    <w:tmpl w:val="1FEC6544"/>
    <w:lvl w:ilvl="0" w:tentative="0">
      <w:start w:val="1"/>
      <w:numFmt w:val="decimal"/>
      <w:lvlText w:val="%1."/>
      <w:lvlJc w:val="left"/>
      <w:pPr>
        <w:ind w:left="840" w:hanging="36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63732E"/>
    <w:multiLevelType w:val="singleLevel"/>
    <w:tmpl w:val="3863732E"/>
    <w:lvl w:ilvl="0" w:tentative="0">
      <w:start w:val="1"/>
      <w:numFmt w:val="decimal"/>
      <w:suff w:val="nothing"/>
      <w:lvlText w:val="%1．"/>
      <w:lvlJc w:val="left"/>
      <w:pPr>
        <w:ind w:left="0" w:firstLine="400"/>
      </w:pPr>
      <w:rPr>
        <w:rFonts w:hint="default"/>
      </w:rPr>
    </w:lvl>
  </w:abstractNum>
  <w:abstractNum w:abstractNumId="4">
    <w:nsid w:val="78147142"/>
    <w:multiLevelType w:val="multilevel"/>
    <w:tmpl w:val="7814714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NTViNWRmNjE3NjA2YTIxMTYzNzQyMzY5MjExMTAifQ=="/>
  </w:docVars>
  <w:rsids>
    <w:rsidRoot w:val="3AB47EBD"/>
    <w:rsid w:val="0001117F"/>
    <w:rsid w:val="00026DB4"/>
    <w:rsid w:val="00042431"/>
    <w:rsid w:val="00080645"/>
    <w:rsid w:val="000B1810"/>
    <w:rsid w:val="000C7549"/>
    <w:rsid w:val="000D02DD"/>
    <w:rsid w:val="000D74DC"/>
    <w:rsid w:val="00195003"/>
    <w:rsid w:val="001E1F58"/>
    <w:rsid w:val="002104E4"/>
    <w:rsid w:val="00276A2A"/>
    <w:rsid w:val="00291834"/>
    <w:rsid w:val="00292985"/>
    <w:rsid w:val="002975C7"/>
    <w:rsid w:val="00297D32"/>
    <w:rsid w:val="002C01D2"/>
    <w:rsid w:val="002C3964"/>
    <w:rsid w:val="002F1390"/>
    <w:rsid w:val="00314080"/>
    <w:rsid w:val="00323B43"/>
    <w:rsid w:val="0035465E"/>
    <w:rsid w:val="003D37D8"/>
    <w:rsid w:val="00426133"/>
    <w:rsid w:val="004358AB"/>
    <w:rsid w:val="0046489D"/>
    <w:rsid w:val="00486A02"/>
    <w:rsid w:val="004A0D08"/>
    <w:rsid w:val="004E06D0"/>
    <w:rsid w:val="0050259A"/>
    <w:rsid w:val="0058556B"/>
    <w:rsid w:val="005974F2"/>
    <w:rsid w:val="006C49EB"/>
    <w:rsid w:val="007223E3"/>
    <w:rsid w:val="0074351A"/>
    <w:rsid w:val="007A0515"/>
    <w:rsid w:val="007B4F5D"/>
    <w:rsid w:val="007C3A20"/>
    <w:rsid w:val="00805B87"/>
    <w:rsid w:val="008821E8"/>
    <w:rsid w:val="00883ADB"/>
    <w:rsid w:val="008B7726"/>
    <w:rsid w:val="008E14BB"/>
    <w:rsid w:val="008F7D6C"/>
    <w:rsid w:val="00937E93"/>
    <w:rsid w:val="00942280"/>
    <w:rsid w:val="0095609A"/>
    <w:rsid w:val="009920B8"/>
    <w:rsid w:val="00993006"/>
    <w:rsid w:val="009A3AEF"/>
    <w:rsid w:val="009B01A6"/>
    <w:rsid w:val="00A35A28"/>
    <w:rsid w:val="00A50842"/>
    <w:rsid w:val="00A5643E"/>
    <w:rsid w:val="00AA190D"/>
    <w:rsid w:val="00AF3BF0"/>
    <w:rsid w:val="00B12A16"/>
    <w:rsid w:val="00B726EC"/>
    <w:rsid w:val="00B805B5"/>
    <w:rsid w:val="00BA5423"/>
    <w:rsid w:val="00BB3E84"/>
    <w:rsid w:val="00C11C2A"/>
    <w:rsid w:val="00C30FD0"/>
    <w:rsid w:val="00C422F6"/>
    <w:rsid w:val="00CD0B94"/>
    <w:rsid w:val="00D31D50"/>
    <w:rsid w:val="00D62806"/>
    <w:rsid w:val="00D84ACF"/>
    <w:rsid w:val="00DA3E50"/>
    <w:rsid w:val="00DC2F90"/>
    <w:rsid w:val="00E83110"/>
    <w:rsid w:val="00EA1389"/>
    <w:rsid w:val="00F850D7"/>
    <w:rsid w:val="00FA4AFA"/>
    <w:rsid w:val="04FD1DBF"/>
    <w:rsid w:val="06D95D5C"/>
    <w:rsid w:val="0B7144AB"/>
    <w:rsid w:val="0BB25D40"/>
    <w:rsid w:val="0C1776CD"/>
    <w:rsid w:val="0CC972B8"/>
    <w:rsid w:val="111C776B"/>
    <w:rsid w:val="114F0034"/>
    <w:rsid w:val="12526E7F"/>
    <w:rsid w:val="148D32B1"/>
    <w:rsid w:val="174C1B02"/>
    <w:rsid w:val="17740758"/>
    <w:rsid w:val="201025ED"/>
    <w:rsid w:val="20FB644C"/>
    <w:rsid w:val="23623C21"/>
    <w:rsid w:val="253D4A62"/>
    <w:rsid w:val="275269A2"/>
    <w:rsid w:val="280E79C1"/>
    <w:rsid w:val="28B63582"/>
    <w:rsid w:val="379A6012"/>
    <w:rsid w:val="3AB47EBD"/>
    <w:rsid w:val="3D1A08FD"/>
    <w:rsid w:val="40C61916"/>
    <w:rsid w:val="417B34D7"/>
    <w:rsid w:val="45DC1C8A"/>
    <w:rsid w:val="45EC7C63"/>
    <w:rsid w:val="47FC77BD"/>
    <w:rsid w:val="4C23643F"/>
    <w:rsid w:val="4C87617B"/>
    <w:rsid w:val="4CBF4F94"/>
    <w:rsid w:val="55784A0C"/>
    <w:rsid w:val="5C9519F4"/>
    <w:rsid w:val="5D741CB4"/>
    <w:rsid w:val="5D9933D3"/>
    <w:rsid w:val="602A2D2E"/>
    <w:rsid w:val="61045C75"/>
    <w:rsid w:val="615B787B"/>
    <w:rsid w:val="62481200"/>
    <w:rsid w:val="66154BC1"/>
    <w:rsid w:val="6C256AA0"/>
    <w:rsid w:val="6CD7167D"/>
    <w:rsid w:val="6D812411"/>
    <w:rsid w:val="6E1859C2"/>
    <w:rsid w:val="70211BD0"/>
    <w:rsid w:val="71BB2FF8"/>
    <w:rsid w:val="720C498A"/>
    <w:rsid w:val="756C0CB7"/>
    <w:rsid w:val="77583AE8"/>
    <w:rsid w:val="778806C1"/>
    <w:rsid w:val="798263E3"/>
    <w:rsid w:val="79A64F3B"/>
    <w:rsid w:val="7C660BC7"/>
    <w:rsid w:val="7EAE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rFonts w:ascii="Tahoma" w:hAnsi="Tahoma"/>
      <w:sz w:val="18"/>
      <w:szCs w:val="18"/>
    </w:rPr>
  </w:style>
  <w:style w:type="character" w:customStyle="1" w:styleId="14">
    <w:name w:val="页脚 Char"/>
    <w:basedOn w:val="10"/>
    <w:link w:val="5"/>
    <w:qFormat/>
    <w:uiPriority w:val="99"/>
    <w:rPr>
      <w:rFonts w:ascii="Tahoma" w:hAnsi="Tahoma"/>
      <w:sz w:val="18"/>
      <w:szCs w:val="18"/>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批注文字 Char"/>
    <w:basedOn w:val="10"/>
    <w:link w:val="3"/>
    <w:semiHidden/>
    <w:qFormat/>
    <w:uiPriority w:val="99"/>
    <w:rPr>
      <w:kern w:val="2"/>
      <w:sz w:val="21"/>
      <w:szCs w:val="24"/>
    </w:rPr>
  </w:style>
  <w:style w:type="character" w:customStyle="1" w:styleId="18">
    <w:name w:val="批注主题 Char"/>
    <w:basedOn w:val="17"/>
    <w:link w:val="7"/>
    <w:semiHidden/>
    <w:qFormat/>
    <w:uiPriority w:val="99"/>
    <w:rPr>
      <w:b/>
      <w:bCs/>
      <w:kern w:val="2"/>
      <w:sz w:val="21"/>
      <w:szCs w:val="24"/>
    </w:rPr>
  </w:style>
  <w:style w:type="character" w:customStyle="1" w:styleId="19">
    <w:name w:val="批注框文本 Char"/>
    <w:basedOn w:val="10"/>
    <w:link w:val="4"/>
    <w:semiHidden/>
    <w:qFormat/>
    <w:uiPriority w:val="99"/>
    <w:rPr>
      <w:kern w:val="2"/>
      <w:sz w:val="18"/>
      <w:szCs w:val="18"/>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25991;&#20214;\&#21508;&#31185;SOP&#21644;&#31649;&#29702;&#21046;&#24230;\2024&#24180;&#33647;&#29289;&#20020;&#24202;&#35797;&#39564;&#26631;&#20934;&#25805;&#20316;&#35268;&#31243;&#20462;&#35746;\2024&#24180;&#33647;&#29289;&#20020;&#24202;&#35797;&#39564;&#26631;&#20934;&#25805;&#20316;&#35268;&#31243;&#20462;&#35746;&#65288;20204&#24180;1&#26376;&#26816;&#26597;&#25972;&#25913;&#21518;&#29256;&#26412;%20&#30446;&#21069;&#25191;&#34892;&#29256;&#26412;&#65289;\2024&#24180;&#33647;&#29289;&#20020;&#24202;&#35797;&#39564;&#26631;&#20934;&#25805;&#20316;&#35268;&#31243;Word&#23450;&#31295;&#29256;\&#38468;&#20214;\&#31649;&#29702;&#21046;&#24230;&#38468;&#20214;\ADM-004-01%20&#20020;&#24202;&#35797;&#39564;&#21551;&#21160;&#36890;&#30693;&#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ADM-004-01 临床试验启动通知书.docx</Template>
  <Pages>10</Pages>
  <Words>5383</Words>
  <Characters>5549</Characters>
  <Lines>2</Lines>
  <Paragraphs>1</Paragraphs>
  <TotalTime>2</TotalTime>
  <ScaleCrop>false</ScaleCrop>
  <LinksUpToDate>false</LinksUpToDate>
  <CharactersWithSpaces>6578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2024-10-17T06:35:00Z</dcterms:created>
  <dc:creator>游游游游鱼</dc:creator>
  <cp:lastModifiedBy>Chili</cp:lastModifiedBy>
  <cp:lastPrinted>2024-11-14T07:24:00Z</cp:lastPrinted>
  <dcterms:modified xsi:type="dcterms:W3CDTF">2024-12-30T04:19:02Z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31474083E87E451B81A8C62AF41A5985_13</vt:lpwstr>
  </property>
  <property fmtid="{D5CDD505-2E9C-101B-9397-08002B2CF9AE}" pid="4" name="KSOTemplateDocerSaveRecord">
    <vt:lpwstr>eyJoZGlkIjoiMDQ4NTViNWRmNjE3NjA2YTIxMTYzNzQyMzY5MjExMTAiLCJ1c2VySWQiOiIyNjc4MTE2MzEifQ==</vt:lpwstr>
  </property>
</Properties>
</file>